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USD correlations: Over the last 30 trading days, USD sensitivity is concentrated in real assets, with gold showing the strongest inverse linkage and oil, broad commodities, and bitcoin also moving meaningfully opposite to the dollar. The S&amp;P 500’s near-zero correlation suggests equity returns have been largely independent of day-to-day USD moves. The consistency of these relationships across 15-, 30-, and 90-day windows points to a stable pattern of the dollar acting mainly against hard assets rather than broad equities.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