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have traded with clearly negative rate sensitivity, with the Russell 2000 showing the strongest equity linkage to yields and implying that smaller caps are most pressured when rates rise. The S&amp;P 500 and Nasdaq 100 also show meaningful negative correlations, but less so than small caps, suggesting rate moves are a shared but not uniform driver across major benchmarks.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