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BTC, all showing meaningful negative correlations, with gold the most inverse to the dollar. GLD’s consistently strong negative linkage across 15D and 90D underscores gold’s role as the clearest USD counter-move in this set. SPX and BTC also lean negatively to the USD, but with somewhat less stability than gold, while USO and broad commodities show correlations near zero, indicating limited direct USD influence recently.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