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U. S. equities have generally moved opposite 10-year yields, with the Russell 2000 showing the most pronounced equity-rate sensitivity and the S&amp;P 500 and Nasdaq 100 somewhat less so. Utilities have behaved more like rate-sensitive bond proxies than cyclicals, while Financials show a milder, still negative relationship to yields, suggesting less direct rate impact on recent bank and financial stock moves.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