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equities, gold, and bitcoin, with the S&amp;P 500 and GLD showing the clearest inverse links and BTC moving more moderately in the same direction. GLD’s consistently strong negative correlation across 30D and 90D windows highlights it as the most reliable USD hedge in this set, while the S&amp;P 500’s negative linkage is notable but slightly weaker. Oil (USO) and broad commodities (COMT) show only mild, mixed correlations to the dollar, suggesting their recent moves have been driven more by non-USD factors.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