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broad equities (S&amp;P 500 and Nasdaq 100) have shown strong negative linkage to 10-year yields, implying that stock returns have tended to struggle on days when rates rise. Small caps and utilities are also meaningfully negatively correlated to yields, but somewhat less so than the large-cap benchmarks, suggesting rate sensitivity is concentrated in the major equity indices. Financials remain only moderately tied to rate moves, indicating that sector’s daily performance has been less driven by shifts in the 10-year than the rest of the equity complex.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