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all showing moderate inverse moves versus the dollar, with gold the most tightly linked and its longer window pointing to a persistently strong anti-USD profile. The S&amp;P 500 and bitcoin both tend to weaken when the dollar strengthens, but less consistently than gold. In contrast, broad commodities and oil show contained and inconsistent USD linkage, suggesting that recent moves there have been driven more by sector-specific factors than by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