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the S&amp;P 500 has shown very limited linkage to moves in 10-year yields, while the Nasdaq has been modestly positively aligned with rising rates. Rate sensitivity is more pronounced in small caps and especially in Utilities, where the negative correlation suggests they have tended to struggle when yields move higher. Compared with the 15D and 90D windows, that downside rate sensitivity in Utilities and Russell 2000 looks persistent rather than a short-term quirk, whereas broad equities remain only loosely tied to yields overall.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