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linkages are mostly contained, with only gold showing a clearer inverse relationship to the dollar and that influence remaining concentrated rather than broad-based. Gold’s negative correlation with the USD has strengthened over the 15D window and is even more pronounced over 90D, underscoring its role as the primary dollar-sensitive asset in this group. By contrast, equities, oil, broad commodities, and Bitcoin show relatively muted and less consistent co-movement with the USD, suggesting limited near-term sensitivity in their day-to-day returns.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