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benchmarks have moved mostly opposite to 10-year yields, with the Russell 2000 showing the strongest negative linkage and thus the highest rate sensitivity among the major indexes. The S&amp;P 500, Nasdaq 100, and Utilities are also meaningfully inversely tied to yields, while Financials show a more moderate, but still negative, relationship. Shorter- and longer-window readings generally confirm this pattern, suggesting that index-level rate sensitivity is both elevated and relatively concentrated in smaller caps.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