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equities, gold, and bitcoin, all showing moderate negative correlations that imply they have tended to weaken when the dollar strengthens. Gold stands out as the most tightly linked to the USD, with its negative correlation deepening over the 90D window, while bitcoin’s pattern is similar but slightly weaker. In contrast, oil and broad commodities show only mild and inconsistent USD linkage, suggesting that recent moves there have been driven more by asset‑specific factors than by the dollar.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