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Rates correlations: Over the last 30 trading days, all major equity and sector benchmarks have shown negative sensitivity to moves in the 10-year yield, with Utilities standing out as the most rate-sensitive of the group. The S&amp;P 500, Nasdaq 100, and Russell 2000 all lean meaningfully inverse to yields, implying broad equity pressure when rates rise, while Financials are also modestly negatively tied to rates rather than benefiting from them. Compared with the more muted 90-day readings, the recent 30-day window points to a more concentrated and elevated rate influence on Utilities and a firmer inverse linkage across the main equity indices.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