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moves have been felt most clearly in gold and U. S. equities, both tending to weaken when the dollar strengthens, with this influence concentrated in GLD as the single strongest USD-linked asset in the set. GLD’s negative linkage has been persistent and even stronger over 90 days, while SPX shows a moderate, steady inverse relationship.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