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(SPX, NDX, RUT) have shown moderately negative links to 10-year yields, indicating that higher rates have generally come alongside weaker stock returns, with the effect most uniform for large-cap and small-cap indexes. Rate sensitivity is concentrated in Utilities, where correlations are sharply negative across windows, underscoring their role as the most rate-exposed equity sector in this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