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equities and gold, with the S&amp;P 500 and especially GLD tending to move in the opposite direction of the dollar. Gold’s inverse linkage is the strongest and most persistent, with the 90-day window showing an even tighter negative relationship. Bitcoin also leans inversely to the USD, though less consistently, while oil (USO) and broad commodities (COMT) show only limited, low-conviction connection to dollar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