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which shows the strongest inverse relationship, with oil, broad commodities, and bitcoin also moving meaningfully opposite to the dollar. These negative correlations are consistent across 15D and 90D windows, suggesting a stable pattern of “USD down, real assets up” behavior. In contrast, the S&amp;P 500’s linkage to the dollar remains very muted, indicating equity moves have been largely independent of day-to-day USD fluctuations.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