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and Financials show the clearest negative sensitivity to rising yields, while the S&amp;P 500’s near-zero reading suggests broad equities have been relatively insulated. The Nasdaq 100 has leaned moderately positive to yields, but with less consistency than classic rate‑sensitive sectors. Small caps (Russell 2000) remain negatively tied to yields, and that pattern has been more stable over the 90-day window than the large-cap benchmarks.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