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linkages are generally contained across equities, commodities, gold, and bitcoin, with no asset showing a strong day-to-day alignment with the dollar. The mild 30-day negative correlation in gold is the most pronounced, and its much stronger 90-day inverse relationship suggests that gold’s sensitivity to USD moves has been more visible over a longer horizon than in the recent month. Other assets, including the S&amp;P 500, oil, broad commodities, and bitcoin, show only weak and mixed correlations, indicating that recent USD fluctuations have not been a dominant driver of their short-term return patterns.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