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the S&amp;P 500 has been only loosely tied to moves in the 10-year yield, while the Nasdaq 100 shows a modest positive link, suggesting growth and large-cap tech have not been uniformly pressured by rising yields. In contrast, rate sensitivity is more clearly felt in smaller caps and defensives: the Russell 2000 is more negatively correlated, and Utilities in particular show consistently strong inverse sensitivity, with that influence concentrated there among the equity sectors shown. Financials have recently traded with a notable negative correlation to yields as well, implying that rate moves have not been a straightforward tailwind for the sector despite its traditional exposure. Over the 15D and 90D windows, these patterns broadly persist, with Utilities and small caps maintaining the most persistent negative linkage among the major equity groups.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