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which shows a clear negative linkage to DXY, and that inverse relationship looks even stronger when you widen the lens to 90 days. Equities, oil, broad commodities, and bitcoin all show relatively contained USD correlations on the 30-day view, though their more negative 90-day readings hint that the dollar has recently mattered more for these assets than the near-term snapshot alone would suggest.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