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concentrated in classic defensives, with Utilities showing the strongest equity linkage to yields and moving inversely as yields rise. Financials are also negatively tied to yields over this window, suggesting bank and financial stocks have not been behaving like typical rate beneficiaries recently. The S&amp;P 500 overall shows very limited connection to daily rate moves, while the Nasdaq 100 and Russell 2000 display moderate but opposing rate patterns, underscoring that index-level sensitivity depends heavily on sector and size mix.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