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generally mild, with most major assets showing only contained day‑to‑day sensitivity to moves in the dollar. The strongest relationship is a modest inverse one with gold, and that linkage becomes much clearer when you look back over 90 trading days, while having softened more recently over 15 days. Equities, oil, broad commodities, and Bitcoin all sit near zero versus the USD on a 30-day view, suggesting no single risk asset is providing a concentrated or stable hedge or amplifier of dollar moves in the near term.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