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all major equity indices and sectors show clear negative sensitivity to moves in the 10-year yield, with the Russell 2000, S&amp;P 500, and Utilities among the most rate‑responsive. The Russell 2000’s correlation is both relatively strong and persistent across 15D, 30D, and 90D, suggesting that rate sensitivity there is more entrenched than in the large-cap benchmarks. Utilities also exhibit consistently elevated negative correlations, reinforcing their role as a rate‑sensitive, bond‑like equity segment.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