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U. S. equities, both showing moderate negative linkages to DXY, while broad commodities and oil are largely uncoupled from dollar moves. Gold stands out with the strongest and most persistent inverse correlation, which has deepened over the 90-day window, while Bitcoin’s negative linkage has emerged more recently and is weaker.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