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concentrated in defensive and rate‑exposed sectors, with Utilities and Financials both showing clearly negative links to rising yields, and the Russell 2000 also leaning meaningfully inverse to rates. The S&amp;P 500 as a whole shows very little net linkage to yields over this window, masking sharper pockets of rate sensitivity beneath the surface. The Nasdaq 100 has been modestly positively tied to yields recently, marking a notable shift from its slightly negative 90‑day relationship.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