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generally contained across equities, oil, broad commodities, and Bitcoin, with only mild inverse sensitivity showing up and no asset meeting a “strong” correlation threshold. Gold is the clearest USD hedge in this set, with a moderately negative relationship today and a much stronger inverse pattern when you look back over the last 90 trading days. The recent pickup in shorter-term negative correlations for gold, oil, and Bitcoin hints that their day-to-day moves have become a bit more reactive to dollar swings compared with the broader 30-day picture.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