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Rates correlations: Over the last 30 trading days, US equities and sectors have shown broadly negative sensitivity to rising 10Y yields, with the Russell 2000 and Utilities standing out as the most rate‑sensitive equity exposures. The S&amp;P 500 and Financials also lean meaningfully negative to yields, suggesting higher rates have generally coincided with equity weakness rather than offering sector-level relief. The Nasdaq 100’s 30-day correlation is mildly negative but its positive 15-day read points to more mixed, shifting rate sensitivity beneath the surface. Overall, rate influence is not concentrated in a single equity index or sector, but it is consistently felt across most risk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