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USD correlations: Over the last 30 trading days, USD sensitivity is concentrated in equities and gold, with the S&amp;P 500 and especially GLD tending to weaken when the dollar strengthens. GLD shows the clearest and most persistent inverse relationship with the USD, as its already moderate 30-day linkage sits between a softer 15-day and a stronger 90-day correlation. Bitcoin also moves inversely to the dollar but less tightly than gold, while oil and broad commodities show little consistent linkage to USD moves over these horizons.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