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rFonts w:ascii="Calibri" w:cs="Calibri" w:eastAsia="Calibri" w:hAnsi="Calibri"/>
          <w:b/>
          <w:bCs/>
          <w:color w:val="0B6E63"/>
          <w:spacing w:val="40"/>
          <w:sz w:val="16"/>
          <w:szCs w:val="16"/>
        </w:rPr>
        <w:t xml:space="preserve">LEASEMD · COBRANZA Y OPERACIONES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11C1A"/>
          <w:sz w:val="44"/>
          <w:szCs w:val="44"/>
        </w:rPr>
        <w:t xml:space="preserve">Aterrizaje de Requerimientos</w:t>
      </w:r>
    </w:p>
    <w:p>
      <w:pPr>
        <w:pBdr>
          <w:bottom w:val="single" w:color="0B6E63" w:sz="16"/>
        </w:pBdr>
        <w:spacing w:after="200" w:before="40"/>
      </w:pP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20"/>
          <w:szCs w:val="20"/>
        </w:rPr>
        <w:t xml:space="preserve">Aviso anticipado y resolución asistida de vencimientos. Este documento convierte una petición ambigua en un alcance negociable y un MVP verificable. </w:t>
      </w:r>
      <w:r>
        <w:rPr>
          <w:rFonts w:ascii="Calibri" w:cs="Calibri" w:eastAsia="Calibri" w:hAnsi="Calibri"/>
          <w:b/>
          <w:bCs/>
          <w:color w:val="111C1A"/>
          <w:sz w:val="20"/>
          <w:szCs w:val="20"/>
        </w:rPr>
        <w:t xml:space="preserve">No cierra el requerimiento: lo hace discutible.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2016"/>
        <w:gridCol w:w="2016"/>
        <w:gridCol w:w="2822"/>
      </w:tblGrid>
      <w:tr>
        <w:trPr>
          <w:tblHeader/>
        </w:trPr>
        <w:tc>
          <w:tcPr>
            <w:tcW w:type="dxa" w:w="3226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Ejercicio</w:t>
            </w:r>
          </w:p>
        </w:tc>
        <w:tc>
          <w:tcPr>
            <w:tcW w:type="dxa" w:w="2016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Versión</w:t>
            </w:r>
          </w:p>
        </w:tc>
        <w:tc>
          <w:tcPr>
            <w:tcW w:type="dxa" w:w="2016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Fecha</w:t>
            </w:r>
          </w:p>
        </w:tc>
        <w:tc>
          <w:tcPr>
            <w:tcW w:type="dxa" w:w="2822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Bloque 1 · Aterrizaje de requerimientos</w:t>
            </w:r>
          </w:p>
        </w:tc>
        <w:tc>
          <w:tcPr>
            <w:tcW w:type="dxa" w:w="201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v1.0 — Propuesta para validación</w:t>
            </w:r>
          </w:p>
        </w:tc>
        <w:tc>
          <w:tcPr>
            <w:tcW w:type="dxa" w:w="201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20 ago 2026</w:t>
            </w:r>
          </w:p>
        </w:tc>
        <w:tc>
          <w:tcPr>
            <w:tcW w:type="dxa" w:w="282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Pendiente de validación</w:t>
            </w:r>
          </w:p>
        </w:tc>
      </w:tr>
    </w:tbl>
    <w:p>
      <w:pPr>
        <w:pStyle w:val="Heading1"/>
      </w:pPr>
      <w:r>
        <w:t xml:space="preserve">1 · Resumen ejecutivo y reencuadre</w:t>
      </w: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La petición —«que el sistema avise cuando algo esté por vencerse y que se resuelva solo»— es un problema de negocio legítimo, pero todavía no un requerimiento implementable. Contiene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tres problemas distintos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que conviene separar antes de estimar, porque tienen dueños, riesgos y costos diferentes:</w:t>
      </w:r>
    </w:p>
    <w:p>
      <w:pPr>
        <w:pStyle w:val="ListParagraph"/>
        <w:numPr>
          <w:ilvl w:val="0"/>
          <w:numId w:val="2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Detección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— saber qué vence y cuándo. Es un problema de datos y de acceso a la fuente.</w:t>
      </w:r>
    </w:p>
    <w:p>
      <w:pPr>
        <w:pStyle w:val="ListParagraph"/>
        <w:numPr>
          <w:ilvl w:val="0"/>
          <w:numId w:val="2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Notificación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— que la persona correcta se entere a tiempo, por el canal donde ya trabaja, sin saturarse. Es un problema de diseño.</w:t>
      </w:r>
    </w:p>
    <w:p>
      <w:pPr>
        <w:pStyle w:val="ListParagraph"/>
        <w:numPr>
          <w:ilvl w:val="0"/>
          <w:numId w:val="2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Resolución automática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— que el sistema actúe. Es un problema de reglas, autoridad y reversibilidad, no de tecnología.</w:t>
      </w: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Los dos primeros son acotables y de bajo riesgo. El tercero es donde la ambigüedad cuesta caro: «resolverse solo» puede significar enviar un aviso o ejecutar una acción con efecto contractual. La sección 5 descompone esa palabra en niveles para poder acordarla acción por acción.</w:t>
      </w:r>
    </w:p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0B6E63" w:sz="18"/>
              <w:bottom w:val="none" w:color="FFFFFF" w:sz="0"/>
              <w:right w:val="none" w:color="FFFFFF" w:sz="0"/>
            </w:tcBorders>
            <w:shd w:fill="E4F0ED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B6E63"/>
                <w:spacing w:val="24"/>
                <w:sz w:val="15"/>
                <w:szCs w:val="15"/>
              </w:rPr>
              <w:t xml:space="preserve">COMPROMISO DEL MVP</w:t>
            </w:r>
          </w:p>
          <w:p>
            <w:pPr>
              <w:spacing w:after="110" w:line="260"/>
            </w:pP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Para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20"/>
                <w:szCs w:val="20"/>
              </w:rPr>
              <w:t xml:space="preserve">un</w:t>
            </w: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 tipo de vencimiento —aún por definir— y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20"/>
                <w:szCs w:val="20"/>
              </w:rPr>
              <w:t xml:space="preserve">un</w:t>
            </w: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 equipo piloto: detectar los registros elegibles con fecha válida en la fuente acordada, avisar al responsable, dar seguimiento hasta el cierre, escalar lo no atendido y dejar traza de todo.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La automatización de acciones se limita a operaciones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20"/>
                <w:szCs w:val="20"/>
              </w:rPr>
              <w:t xml:space="preserve">internas, determinísticas y reversibles</w:t>
            </w: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, y sólo si el levantamiento confirma que existe al menos una.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20"/>
                <w:szCs w:val="20"/>
              </w:rPr>
              <w:t xml:space="preserve">No comprometo que «todo se resuelva solo».</w:t>
            </w:r>
          </w:p>
        </w:tc>
      </w:tr>
    </w:tbl>
    <w:p>
      <w:pPr>
        <w:pStyle w:val="Heading2"/>
      </w:pPr>
      <w:r>
        <w:t xml:space="preserve">1.1 Hechos frente a hipótesis</w:t>
      </w: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Separar ambas cosas es el trabajo principal de este documento.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Todo lo que no esté en la columna izquierda es pregunta (sección 2) o hipótesis etiquetada (sección 3)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, nunca un hecho.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Lo único que el escenario establece</w:t>
            </w:r>
          </w:p>
        </w:tc>
        <w:tc>
          <w:tcPr>
            <w:tcW w:type="dxa" w:w="5040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Lo que NO establece y por tanto no afirmo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LeaseMD administra pólizas y factura a clientes.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Cobranza y Operaciones ya consumen automatizaciones y asistentes internos.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Operaciones pide aviso anticipado y resolución automática.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Operaciones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declara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haber perdido «varios casos» y que «la gente se queja»: son declaraciones sin cuantificar, no mediciones.</w:t>
            </w:r>
          </w:p>
        </w:tc>
        <w:tc>
          <w:tcPr>
            <w:tcW w:type="dxa" w:w="504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Qué objeto se vence, y con qué anticipación.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Quién es el usuario y quién recibe el aviso.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Qué acciones pueden delegarse al sistema y cuáles no.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Qué sistemas contienen el dato y cómo se accede.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Cuántos casos se perdieron, cuándo y con qué costo.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Quién decide sobre el alcance.</w:t>
            </w:r>
          </w:p>
        </w:tc>
      </w:tr>
    </w:tbl>
    <w:p>
      <w:pPr>
        <w:pStyle w:val="Heading1"/>
      </w:pPr>
      <w:r>
        <w:t xml:space="preserve">2 · Preguntas de clarificación</w:t>
      </w: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Diecinueve preguntas en cinco grupos.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Seis están marcadas como BLOQUEANTES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: sin ellas no puedo estimar en firme ni acotar el MVP; el resto puede resolverse durante el primer sprint. Están pensadas para una sesión de 60 minutos con Operaciones y Cobranza en la misma sala, porque parte del valor está en observar dónde no coinciden entre ellos.</w:t>
      </w:r>
    </w:p>
    <w:p>
      <w:pPr>
        <w:pStyle w:val="Heading2"/>
      </w:pPr>
      <w:r>
        <w:t xml:space="preserve">A · Qué se vence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4983"/>
        <w:gridCol w:w="3964"/>
      </w:tblGrid>
      <w:tr>
        <w:trPr>
          <w:tblHeader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ID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Pregunta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Por qué importa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A-01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BLOQ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¿Qué exactamente se vence hoy?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Pólizas, facturas, documentos, garantías, renovaciones, tareas operativas u otro objeto. De esa lista, ¿cuál duele más? Ordénenla.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Define la fuente, el modelo de datos y la mayor parte del esfuerzo. «Algo» no se puede estimar.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A-02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¿Con cuánta anticipación se considera algo «por vencer»? ¿El umbral es igual para todos? ¿Días naturales o hábiles?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Un umbral mal elegido produce avisos inútiles o tardíos.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A-03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¿Existen prórrogas, periodos de gracia o reprogramaciones? ¿Quién las autoriza y dónde quedan registradas?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Un caso prorrogado que sigue alertando puede generar ruido operativo, pérdida de confianza y abandono de la herramienta.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A-04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¿Qué ocurre si la fecha de vencimiento cambia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después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de haberse generado un aviso? ¿Y cuál es el volumen: basta una revisión periódica o se requiere reacción inmediata?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Lo primero define si hay que retractar o reemitir; lo segundo separa una lista de trabajo de un motor de eventos.</w:t>
            </w:r>
          </w:p>
        </w:tc>
      </w:tr>
    </w:tbl>
    <w:p>
      <w:pPr>
        <w:pStyle w:val="Heading2"/>
      </w:pPr>
      <w:r>
        <w:t xml:space="preserve">B · Qué significa «resolverse solo»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4983"/>
        <w:gridCol w:w="3964"/>
      </w:tblGrid>
      <w:tr>
        <w:trPr>
          <w:tblHeader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ID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Pregunta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Por qué importa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B-01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BLOQ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¿Qué significa exactamente «resolverse solo»?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¿Que el sistema ejecute la acción por la persona, o que la persona deje de perseguir información? Describan paso a paso lo que hace hoy alguien cuando ve que algo va a vencer.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Son dos productos distintos, con costo y riesgo de órdenes de magnitud diferentes. Convierte una aspiración en una lista finita de pasos.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B-02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¿Qué acciones estarían dispuestos a que el sistema ejecute sin que nadie apruebe?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De los pasos anteriores, ¿cuáles son siempre iguales?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Ese subconjunto es el único candidato real a automatización en el MVP.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B-03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¿Qué acciones requieren obligatoriamente intervención humana?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¿Cuáles son irreversibles o tienen efecto financiero, contractual o legal?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Define la frontera de seguridad. Nada de esa lista se automatiza en el MVP.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B-04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¿Cuándo se considera que un caso está resuelto? ¿Existe un estado observable que lo confirme?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Sin definición de cierre no hay auto-resolución medible ni métrica de fuga.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B-05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¿Qué debe ocurrir si una acción automática falla? ¿Quién responde y quién puede desactivarla?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Sin un dueño claro, un incidente puede detener la automatización y dificultar su reactivación.</w:t>
            </w:r>
          </w:p>
        </w:tc>
      </w:tr>
    </w:tbl>
    <w:p>
      <w:pPr>
        <w:pStyle w:val="Heading2"/>
      </w:pPr>
      <w:r>
        <w:t xml:space="preserve">C · Usuarios y canales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4983"/>
        <w:gridCol w:w="3964"/>
      </w:tblGrid>
      <w:tr>
        <w:trPr>
          <w:tblHeader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ID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Pregunta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Por qué importa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C-01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BLOQ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¿Quién es el usuario que va a trabajar con esto todos los días?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¿Cuántas personas, con qué rol, y en qué herramienta trabajan hoy?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Si el aviso no llega por un canal integrado al flujo habitual del usuario, aumenta la fricción y el riesgo de baja adopción. Determina interfaz y canal.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C-02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¿Quién debe recibir la notificación: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el responsable interno, su coordinador, el cliente, o varios con contenido distinto?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Un aviso interno es una alerta operativa; uno al cliente es comunicación institucional con requisitos legales. No son el mismo requerimiento.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C-03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Hoy, si nadie ve el aviso, ¿quién es formalmente responsable? ¿Ese rol existe o hay que definirlo?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Automatizar sin dueño del caso sólo mueve el problema: los avisos se acumulan sin destinatario.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C-04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«La gente se queja»: ¿quién exactamente, por qué canal, y queda registro? ¿Podemos leer cinco quejas reales?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Identifica al usuario afectado y da línea base de satisfacción. Leerlas no cuesta nada.</w:t>
            </w:r>
          </w:p>
        </w:tc>
      </w:tr>
    </w:tbl>
    <w:p>
      <w:pPr>
        <w:pStyle w:val="Heading2"/>
      </w:pPr>
      <w:r>
        <w:t xml:space="preserve">D · Datos y sistemas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4983"/>
        <w:gridCol w:w="3964"/>
      </w:tblGrid>
      <w:tr>
        <w:trPr>
          <w:tblHeader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ID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Pregunta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Por qué importa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D-01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BLOQ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¿Qué sistemas contienen la fecha de vencimiento y el estado del caso?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¿Cómo podemos acceder —servicio, réplica de lectura, exportación programada— y quién autoriza ese acceso? ¿Hay ambiente de pruebas?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El acceso a los sistemas fuente puede convertirse en una dependencia crítica y afectar el inicio del MVP; conviene solicitarlo desde el primer día.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D-02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¿Qué tan confiable es ese dato? ¿Qué proporción de registros no tiene fecha o responsable utilizable?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Es el techo real de cobertura del MVP. Si es bajo, el primer entregable es sanear datos, no avisar.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D-03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¿Los avisos involucran datos personales o financieros? ¿Qué exigen el aviso de privacidad y la política de retención vigentes?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Requisito no funcional obligatorio; no se negocia a última hora ni después de construir.</w:t>
            </w:r>
          </w:p>
        </w:tc>
      </w:tr>
    </w:tbl>
    <w:p>
      <w:pPr>
        <w:pStyle w:val="Heading2"/>
      </w:pPr>
      <w:r>
        <w:t xml:space="preserve">E · Éxito y negocio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4983"/>
        <w:gridCol w:w="3964"/>
      </w:tblGrid>
      <w:tr>
        <w:trPr>
          <w:tblHeader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ID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Pregunta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Por qué importa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E-01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BLOQ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¿Qué se considera éxito?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Si sólo lográramos una cosa, ¿cuál tendría que ser para que Operaciones diga que valió la pena? ¿Qué importa más: dejar de perder casos o reducir trabajo manual?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Es la definición operativa del MVP dicha por quien lo va a usar, y obliga a un trade-off explícito.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E-02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¿Cuál es la línea base actual?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«Perdimos varios casos»: ¿cuántos, en qué periodo, con qué costo? ¿Podemos revisar diez casos reales?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Sin línea base no hay mejora demostrable, sólo opiniones. Y el costo justifica la inversión.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E-03</w:t>
            </w:r>
          </w:p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BLOQ</w:t>
            </w:r>
          </w:p>
        </w:tc>
        <w:tc>
          <w:tcPr>
            <w:tcW w:type="dxa" w:w="498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¿Quién tiene autoridad para decidir sobre el alcance?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¿Habrá un Product Owner designado y con cuánto tiempo semanal?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Sin una sola persona que priorice, el alcance lo define el último que habló.</w:t>
            </w:r>
          </w:p>
        </w:tc>
      </w:tr>
    </w:tbl>
    <w:p>
      <w:pPr>
        <w:pStyle w:val="Heading1"/>
      </w:pPr>
      <w:r>
        <w:t xml:space="preserve">3 · Hipótesis de trabajo</w:t>
      </w: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Estas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no son hechos conocidos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: son hipótesis que me permiten avanzar hoy sin detener el trabajo. Cada una se valida o se corrige en la sesión de clarificación, y cada una declara qué pasa si resulta falsa. Ninguna afirma nada que el escenario no haya dicho.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3"/>
        <w:gridCol w:w="3964"/>
        <w:gridCol w:w="1699"/>
        <w:gridCol w:w="3624"/>
      </w:tblGrid>
      <w:tr>
        <w:tc>
          <w:tcPr>
            <w:tcW w:type="dxa" w:w="10080"/>
            <w:gridSpan w:val="4"/>
            <w:tcBorders>
              <w:top w:val="single" w:color="0B6E63" w:sz="4"/>
              <w:left w:val="single" w:color="0B6E63" w:sz="4"/>
              <w:bottom w:val="single" w:color="0B6E63" w:sz="4"/>
              <w:right w:val="single" w:color="0B6E63" w:sz="4"/>
            </w:tcBorders>
            <w:shd w:fill="0B6E63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4"/>
                <w:sz w:val="15"/>
                <w:szCs w:val="15"/>
              </w:rPr>
              <w:t xml:space="preserve">REGISTRO DE HIPÓTESIS</w:t>
            </w:r>
          </w:p>
        </w:tc>
      </w:tr>
      <w:tr>
        <w:trPr>
          <w:tblHeader/>
        </w:trPr>
        <w:tc>
          <w:tcPr>
            <w:tcW w:type="dxa" w:w="79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ID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Hipótesis de trabajo a validar</w:t>
            </w:r>
          </w:p>
        </w:tc>
        <w:tc>
          <w:tcPr>
            <w:tcW w:type="dxa" w:w="1699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Responsable de validación</w:t>
            </w:r>
          </w:p>
        </w:tc>
        <w:tc>
          <w:tcPr>
            <w:tcW w:type="dxa" w:w="3624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Impacto si es falsa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H-01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Existe al menos un tipo de vencimiento cuya fecha está registrada en un sistema y puede consultarse de forma programada.</w:t>
            </w:r>
          </w:p>
        </w:tc>
        <w:tc>
          <w:tcPr>
            <w:tcW w:type="dxa" w:w="169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TI + Operaciones</w:t>
            </w:r>
          </w:p>
        </w:tc>
        <w:tc>
          <w:tcPr>
            <w:tcW w:type="dxa" w:w="362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El primer entregable no es avisar, sino instrumentar el dato. Cambia por completo el MVP.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H-02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Es posible elegir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un solo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tipo de vencimiento para el MVP en la sesión de clarificación.</w:t>
            </w:r>
          </w:p>
        </w:tc>
        <w:tc>
          <w:tcPr>
            <w:tcW w:type="dxa" w:w="169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Operaciones</w:t>
            </w:r>
          </w:p>
        </w:tc>
        <w:tc>
          <w:tcPr>
            <w:tcW w:type="dxa" w:w="362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Si exigen cubrir varios desde el inicio, el MVP deja de ser mínimo y sube al menos una talla.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H-03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Cada registro elegible puede asociarse a un responsable interno identificable, o puede definirse una regla por defecto.</w:t>
            </w:r>
          </w:p>
        </w:tc>
        <w:tc>
          <w:tcPr>
            <w:tcW w:type="dxa" w:w="169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Operaciones</w:t>
            </w:r>
          </w:p>
        </w:tc>
        <w:tc>
          <w:tcPr>
            <w:tcW w:type="dxa" w:w="362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Sin destinatario, los avisos se acumulan sin dueño. Habría que definir el rol antes de construir.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H-04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El MVP es interno.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Ninguna comunicación automática al cliente forma parte del alcance.</w:t>
            </w:r>
          </w:p>
        </w:tc>
        <w:tc>
          <w:tcPr>
            <w:tcW w:type="dxa" w:w="169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Operaciones + Jurídico</w:t>
            </w:r>
          </w:p>
        </w:tc>
        <w:tc>
          <w:tcPr>
            <w:tcW w:type="dxa" w:w="362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Entran consentimiento, plantillas aprobadas, canal externo y revisión legal como dependencias bloqueantes.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H-05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El equipo ya usa al menos un canal interno por el que podemos notificar sin habilitar infraestructura nueva.</w:t>
            </w:r>
          </w:p>
        </w:tc>
        <w:tc>
          <w:tcPr>
            <w:tcW w:type="dxa" w:w="169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TI</w:t>
            </w:r>
          </w:p>
        </w:tc>
        <w:tc>
          <w:tcPr>
            <w:tcW w:type="dxa" w:w="362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Habilitar un canal nuevo añade dependencia externa y esfuerzo.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H-06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Existe —o puede definirse— un estado observable que indique que el caso ya se resolvió.</w:t>
            </w:r>
          </w:p>
        </w:tc>
        <w:tc>
          <w:tcPr>
            <w:tcW w:type="dxa" w:w="169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Operaciones</w:t>
            </w:r>
          </w:p>
        </w:tc>
        <w:tc>
          <w:tcPr>
            <w:tcW w:type="dxa" w:w="362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Sin él no hay cierre automático ni forma de calcular la métrica de fuga. El MVP se queda en N0–N2.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H-07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Existirá al menos una acción interna, determinística, reversible y de bajo riesgo, candidata a ejecutarse automáticamente.</w:t>
            </w:r>
          </w:p>
        </w:tc>
        <w:tc>
          <w:tcPr>
            <w:tcW w:type="dxa" w:w="169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Operaciones (decide) + Jurídico (valida)</w:t>
            </w:r>
          </w:p>
        </w:tc>
        <w:tc>
          <w:tcPr>
            <w:tcW w:type="dxa" w:w="362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El MVP se entrega en nivel N2 y se declara así de forma explícita. No se fuerza una automatización para cumplir la petición.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H-08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Una revisión programada periódica es suficiente; no se requiere reacción en tiempo real.</w:t>
            </w:r>
          </w:p>
        </w:tc>
        <w:tc>
          <w:tcPr>
            <w:tcW w:type="dxa" w:w="169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Operaciones</w:t>
            </w:r>
          </w:p>
        </w:tc>
        <w:tc>
          <w:tcPr>
            <w:tcW w:type="dxa" w:w="362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Cambia la arquitectura de lista de trabajo a motor de eventos: al menos una talla más.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H-09</w:t>
            </w:r>
          </w:p>
        </w:tc>
        <w:tc>
          <w:tcPr>
            <w:tcW w:type="dxa" w:w="396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Habrá un Product Owner con autoridad y un equipo piloto disponible para validar de forma recurrente.</w:t>
            </w:r>
          </w:p>
        </w:tc>
        <w:tc>
          <w:tcPr>
            <w:tcW w:type="dxa" w:w="169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Gerencia</w:t>
            </w:r>
          </w:p>
        </w:tc>
        <w:tc>
          <w:tcPr>
            <w:tcW w:type="dxa" w:w="362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Sin interlocutor único, el alcance crece por consenso y la desviación deja de ser controlable.</w:t>
            </w:r>
          </w:p>
        </w:tc>
      </w:tr>
    </w:tbl>
    <w:p>
      <w:pPr>
        <w:pStyle w:val="Heading1"/>
      </w:pPr>
      <w:r>
        <w:t xml:space="preserve">4 · Alcance</w:t>
      </w:r>
    </w:p>
    <w:p>
      <w:pPr>
        <w:pStyle w:val="Heading2"/>
      </w:pPr>
      <w:r>
        <w:t xml:space="preserve">4.1 Dentro del MVP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Un solo tipo de vencimiento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—el priorizado en A-01, y uno solo conforme a H-02— para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un equipo piloto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Revisión programada periódica de la fuente acordada, con reporte de registros descartados y su motivo.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Detección de registros elegibles y cálculo del tiempo restante según el umbral de A-02.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Asignación de responsable según la regla acordada, con regla por defecto si no hay coincidencia.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Aviso interno al responsable por el canal que el equipo ya utiliza, con control de duplicados.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Lista de seguimiento con estado del caso y registro de la gestión realizada.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Escalamiento interno cuando un caso rebasa el umbral acordado sin gestión registrada.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Registro de excepciones y prórrogas que suspenden los avisos durante su vigencia.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Trazabilidad de cada aviso y acción (actor, momento, resultado, regla) y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desactivación de una regla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sin despliegue.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Condicionado a H-07: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automatización de una acción interna determinística y reversible, con verificación previa de condiciones y traza completa.</w:t>
      </w:r>
    </w:p>
    <w:p>
      <w:pPr>
        <w:pStyle w:val="Heading2"/>
      </w:pPr>
      <w:r>
        <w:t xml:space="preserve">4.2 Fuera del MVP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3"/>
        <w:gridCol w:w="4615"/>
        <w:gridCol w:w="1822"/>
      </w:tblGrid>
      <w:tr>
        <w:trPr>
          <w:tblHeader/>
        </w:trPr>
        <w:tc>
          <w:tcPr>
            <w:tcW w:type="dxa" w:w="3643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Queda fuera</w:t>
            </w:r>
          </w:p>
        </w:tc>
        <w:tc>
          <w:tcPr>
            <w:tcW w:type="dxa" w:w="4615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Por qué</w:t>
            </w:r>
          </w:p>
        </w:tc>
        <w:tc>
          <w:tcPr>
            <w:tcW w:type="dxa" w:w="1822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¿Fase posterior?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Comunicaciones automáticas al cliente</w:t>
            </w:r>
          </w:p>
        </w:tc>
        <w:tc>
          <w:tcPr>
            <w:tcW w:type="dxa" w:w="461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El MVP es interno (H-04). Requiere consentimiento vigente, plantillas aprobadas, canal habilitado y revisión legal, ninguno confirmado hoy</w:t>
            </w:r>
          </w:p>
        </w:tc>
        <w:tc>
          <w:tcPr>
            <w:tcW w:type="dxa" w:w="182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Fase 2, con esas dependencias resueltas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Acciones irreversibles, financieras, contractuales o legales</w:t>
            </w:r>
          </w:p>
        </w:tc>
        <w:tc>
          <w:tcPr>
            <w:tcW w:type="dxa" w:w="461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El costo del error supera el beneficio de automatizarlas antes de tener evidencia de precisión</w:t>
            </w:r>
          </w:p>
        </w:tc>
        <w:tc>
          <w:tcPr>
            <w:tcW w:type="dxa" w:w="182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Sólo con aprobación humana explícita; no antes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Cobertura de todos los tipos de vencimiento</w:t>
            </w:r>
          </w:p>
        </w:tc>
        <w:tc>
          <w:tcPr>
            <w:tcW w:type="dxa" w:w="461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Se habilitan una vez probado el patrón con uno solo</w:t>
            </w:r>
          </w:p>
        </w:tc>
        <w:tc>
          <w:tcPr>
            <w:tcW w:type="dxa" w:w="182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Fase 2, incremental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Motor genérico de flujos, configuración de reglas por el negocio y tablero analítico avanzado</w:t>
            </w:r>
          </w:p>
        </w:tc>
        <w:tc>
          <w:tcPr>
            <w:tcW w:type="dxa" w:w="461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Construirlos antes de saber qué reglas son estables produce una plataforma que nadie usa; el MVP necesita medir tres métricas, no explorar datos</w:t>
            </w:r>
          </w:p>
        </w:tc>
        <w:tc>
          <w:tcPr>
            <w:tcW w:type="dxa" w:w="182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Fase 2, si se estabilizan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Asistentes conversacionales, redacción asistida o priorización mediante modelos</w:t>
            </w:r>
          </w:p>
        </w:tc>
        <w:tc>
          <w:tcPr>
            <w:tcW w:type="dxa" w:w="461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El contexto menciona asistentes internos, pero eso no es justificación: el problema del MVP es de visibilidad, no de lenguaje. La predicción además exige un histórico y una línea base que hoy no existen</w:t>
            </w:r>
          </w:p>
        </w:tc>
        <w:tc>
          <w:tcPr>
            <w:tcW w:type="dxa" w:w="182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Fase 2 o 3, sólo con un problema que lo requiera</w:t>
            </w:r>
          </w:p>
        </w:tc>
      </w:tr>
      <w:tr>
        <w:trPr>
          <w:cantSplit/>
        </w:trPr>
        <w:tc>
          <w:tcPr>
            <w:tcW w:type="dxa" w:w="3643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Rediseño del proceso de Cobranza u Operaciones e integraciones ajenas al flujo principal</w:t>
            </w:r>
          </w:p>
        </w:tc>
        <w:tc>
          <w:tcPr>
            <w:tcW w:type="dxa" w:w="461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Otro proyecto, otro patrocinador, otro presupuesto; cada integración extra es dependencia y riesgo de fecha</w:t>
            </w:r>
          </w:p>
        </w:tc>
        <w:tc>
          <w:tcPr>
            <w:tcW w:type="dxa" w:w="182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No previsto</w:t>
            </w:r>
          </w:p>
        </w:tc>
      </w:tr>
    </w:tbl>
    <w:p>
      <w:pPr>
        <w:pStyle w:val="Heading2"/>
      </w:pPr>
      <w:r>
        <w:t xml:space="preserve">4.3 Restricciones y decisiones propuestas para el MVP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Decisión propuesta: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evitar modificaciones a los sistemas existentes durante el MVP; la solución leería de la fuente acordada y mantendría su propio estado operativo,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sujeto a validación con TI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Decisión propuesta: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la fuente sigue siendo la autoridad del dato de negocio; si difieren, gana la fuente. Forma parte de la estrategia del MVP y debe confirmarse con TI.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Ninguna acción automática del MVP puede ser irreversible. Es una restricción de diseño, no una preferencia.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Configurabilidad sujeta a validación: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los parámetros que durante discovery se identifiquen como variables frecuentes —por ejemplo, umbrales, horarios o activación de reglas— deberían poder ajustarse sin requerir cambios de código, sujeto a validación con TI.</w:t>
      </w:r>
    </w:p>
    <w:p>
      <w:pPr>
        <w:pStyle w:val="Heading1"/>
      </w:pPr>
      <w:r>
        <w:t xml:space="preserve">5 · MVP y Fase 2</w:t>
      </w:r>
    </w:p>
    <w:p>
      <w:pPr>
        <w:pStyle w:val="Heading2"/>
      </w:pPr>
      <w:r>
        <w:t xml:space="preserve">5.1 Niveles de autonomía</w:t>
      </w: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«Resolverse solo» no es un interruptor. Es un atributo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de cada acción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, y se acuerda acción por acción. Esto convierte una expectativa imposible de verificar en algo que se puede aceptar o rechazar en una demostración.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6680"/>
        <w:gridCol w:w="2428"/>
      </w:tblGrid>
      <w:tr>
        <w:trPr>
          <w:tblHeader/>
        </w:trPr>
        <w:tc>
          <w:tcPr>
            <w:tcW w:type="dxa" w:w="972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Nivel</w:t>
            </w:r>
          </w:p>
        </w:tc>
        <w:tc>
          <w:tcPr>
            <w:tcW w:type="dxa" w:w="6680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Qué hace</w:t>
            </w:r>
          </w:p>
        </w:tc>
        <w:tc>
          <w:tcPr>
            <w:tcW w:type="dxa" w:w="2428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¿En el MVP?</w:t>
            </w:r>
          </w:p>
        </w:tc>
      </w:tr>
      <w:tr>
        <w:trPr>
          <w:cantSplit/>
        </w:trPr>
        <w:tc>
          <w:tcPr>
            <w:tcW w:type="dxa" w:w="9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8"/>
                <w:szCs w:val="18"/>
              </w:rPr>
              <w:t xml:space="preserve">N0</w:t>
            </w:r>
          </w:p>
        </w:tc>
        <w:tc>
          <w:tcPr>
            <w:tcW w:type="dxa" w:w="668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Detectar: el sistema sabe qué vence y cuándo.</w:t>
            </w:r>
          </w:p>
        </w:tc>
        <w:tc>
          <w:tcPr>
            <w:tcW w:type="dxa" w:w="242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8"/>
                <w:szCs w:val="18"/>
              </w:rPr>
              <w:t xml:space="preserve">N1</w:t>
            </w:r>
          </w:p>
        </w:tc>
        <w:tc>
          <w:tcPr>
            <w:tcW w:type="dxa" w:w="668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Avisar: notifica al responsable interno, por su canal, con la anticipación acordada.</w:t>
            </w:r>
          </w:p>
        </w:tc>
        <w:tc>
          <w:tcPr>
            <w:tcW w:type="dxa" w:w="242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8"/>
                <w:szCs w:val="18"/>
              </w:rPr>
              <w:t xml:space="preserve">N2</w:t>
            </w:r>
          </w:p>
        </w:tc>
        <w:tc>
          <w:tcPr>
            <w:tcW w:type="dxa" w:w="668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Recomendar: prepara la acción y la deja lista; la persona confirma antes de que ocurra.</w:t>
            </w:r>
          </w:p>
        </w:tc>
        <w:tc>
          <w:tcPr>
            <w:tcW w:type="dxa" w:w="242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9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8"/>
                <w:szCs w:val="18"/>
              </w:rPr>
              <w:t xml:space="preserve">N3</w:t>
            </w:r>
          </w:p>
        </w:tc>
        <w:tc>
          <w:tcPr>
            <w:tcW w:type="dxa" w:w="668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Ejecutar automáticamente acciones internas, determinísticas, reversibles y de bajo riesgo.</w:t>
            </w:r>
          </w:p>
        </w:tc>
        <w:tc>
          <w:tcPr>
            <w:tcW w:type="dxa" w:w="242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Condicionado a H-07</w:t>
            </w:r>
          </w:p>
        </w:tc>
      </w:tr>
      <w:tr>
        <w:trPr>
          <w:cantSplit/>
        </w:trPr>
        <w:tc>
          <w:tcPr>
            <w:tcW w:type="dxa" w:w="9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8"/>
                <w:szCs w:val="18"/>
              </w:rPr>
              <w:t xml:space="preserve">N4</w:t>
            </w:r>
          </w:p>
        </w:tc>
        <w:tc>
          <w:tcPr>
            <w:tcW w:type="dxa" w:w="668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Autonomía amplia: el sistema decide el curso de acción y sólo escala lo atípico.</w:t>
            </w:r>
          </w:p>
        </w:tc>
        <w:tc>
          <w:tcPr>
            <w:tcW w:type="dxa" w:w="242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No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0B6E63" w:sz="18"/>
              <w:bottom w:val="none" w:color="FFFFFF" w:sz="0"/>
              <w:right w:val="none" w:color="FFFFFF" w:sz="0"/>
            </w:tcBorders>
            <w:shd w:fill="E4F0ED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B6E63"/>
                <w:spacing w:val="24"/>
                <w:sz w:val="15"/>
                <w:szCs w:val="15"/>
              </w:rPr>
              <w:t xml:space="preserve">REGLA DE DECISIÓN SOBRE LA AUTOMATIZACIÓN</w:t>
            </w:r>
          </w:p>
          <w:p>
            <w:pPr>
              <w:spacing w:after="110" w:line="260"/>
            </w:pP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Si durante el levantamiento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20"/>
                <w:szCs w:val="20"/>
              </w:rPr>
              <w:t xml:space="preserve">no</w:t>
            </w: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 se identifica una acción que sea a la vez interna, determinística, reversible y de bajo riesgo, la resolución automática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20"/>
                <w:szCs w:val="20"/>
              </w:rPr>
              <w:t xml:space="preserve">queda fuera del MVP</w:t>
            </w: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 y se entrega hasta nivel N2, declarándolo abiertamente.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Prefiero entregar prevención confiable que automatizar una operación con riesgo para el cliente o para el negocio. Esa decisión se toma con Operaciones, no por Ingeniería.</w:t>
            </w:r>
          </w:p>
        </w:tc>
      </w:tr>
    </w:tbl>
    <w:p>
      <w:pPr>
        <w:pStyle w:val="Heading2"/>
      </w:pPr>
      <w:r>
        <w:t xml:space="preserve">5.2 Flujo principal del MVP</w:t>
      </w:r>
    </w:p>
    <w:p>
      <w:pPr>
        <w:spacing w:after="11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Detectar → Avisar → Dar seguimiento → Escalar → Cerrar.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Los umbrales concretos se fijan en A-02; los del ejemplo son ilustrativos, no comprometidos.</w:t>
      </w:r>
    </w:p>
    <w:p>
      <w:pPr>
        <w:pStyle w:val="ListParagraph"/>
        <w:numPr>
          <w:ilvl w:val="0"/>
          <w:numId w:val="4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Detectar.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La revisión programada lee la fuente acordada, identifica los registros elegibles con fecha válida y calcula el tiempo restante.</w:t>
      </w:r>
    </w:p>
    <w:p>
      <w:pPr>
        <w:pStyle w:val="ListParagraph"/>
        <w:numPr>
          <w:ilvl w:val="0"/>
          <w:numId w:val="4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Avisar.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El responsable recibe el aviso por su canal, con lo mínimo para actuar: caso, fecha, tiempo restante y estado. Sin duplicados en la misma ventana.</w:t>
      </w:r>
    </w:p>
    <w:p>
      <w:pPr>
        <w:pStyle w:val="ListParagraph"/>
        <w:numPr>
          <w:ilvl w:val="0"/>
          <w:numId w:val="4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Dar seguimiento.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El caso queda en una lista de trabajo con su estado e historial. Registrar una prórroga suspende los avisos mientras esté vigente.</w:t>
      </w:r>
    </w:p>
    <w:p>
      <w:pPr>
        <w:pStyle w:val="ListParagraph"/>
        <w:numPr>
          <w:ilvl w:val="0"/>
          <w:numId w:val="4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Escalar.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Si se rebasa el umbral acordado sin gestión registrada, el caso se escala internamente al rol definido en C-03.</w:t>
      </w:r>
    </w:p>
    <w:p>
      <w:pPr>
        <w:pStyle w:val="ListParagraph"/>
        <w:numPr>
          <w:ilvl w:val="0"/>
          <w:numId w:val="4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Cerrar.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El caso deja de recordar cuando la fuente confirma que se resolvió. El cierre se determina a partir del estado observable en la fuente acordada, evitando que la herramienta que mide el resultado sea también la única fuente que declara su cumplimiento.</w:t>
      </w:r>
    </w:p>
    <w:p>
      <w:pPr>
        <w:spacing w:after="11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Controles obligatorios de cualquier automatización del MVP.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Trazabilidad: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cada acción registra actor, momento, resultado y regla que la originó.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Reversibilidad: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si una acción no tiene cancelación o compensación, no se automatiza.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Excepciones: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lo que no encaja se deriva a una persona y nunca queda silenciosamente sin atender.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Desactivación y escalamiento: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una regla se apaga desde la interfaz sin despliegue, y todo fallo tiene ruta hacia una persona identificada.</w:t>
      </w:r>
    </w:p>
    <w:p>
      <w:pPr>
        <w:pStyle w:val="Heading2"/>
      </w:pPr>
      <w:r>
        <w:t xml:space="preserve">5.3 Fase 2 — condicionada a evidencia del piloto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804"/>
      </w:tblGrid>
      <w:tr>
        <w:trPr>
          <w:tblHeader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Candidato</w:t>
            </w:r>
          </w:p>
        </w:tc>
        <w:tc>
          <w:tcPr>
            <w:tcW w:type="dxa" w:w="6804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Condición de entrada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Segundo y tercer tipo de vencimiento</w:t>
            </w:r>
          </w:p>
        </w:tc>
        <w:tc>
          <w:tcPr>
            <w:tcW w:type="dxa" w:w="680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El patrón del MVP se sostuvo sin reescritura y la métrica de fuga mejoró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Más escenarios automáticos</w:t>
            </w:r>
          </w:p>
        </w:tc>
        <w:tc>
          <w:tcPr>
            <w:tcW w:type="dxa" w:w="680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Los ya automatizados acumulan operación estable, con tasa de corrección baja y sin incidentes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Comunicación al cliente y canales adicionales</w:t>
            </w:r>
          </w:p>
        </w:tc>
        <w:tc>
          <w:tcPr>
            <w:tcW w:type="dxa" w:w="680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Consentimiento verificado, plantillas aprobadas y visto bueno legal; no antes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Configuración de reglas por el negocio</w:t>
            </w:r>
          </w:p>
        </w:tc>
        <w:tc>
          <w:tcPr>
            <w:tcW w:type="dxa" w:w="680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Las reglas se mantuvieron estables durante el piloto; configurarlas antes es construir sobre arena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Asistente o redacción asistida con IA</w:t>
            </w:r>
          </w:p>
        </w:tc>
        <w:tc>
          <w:tcPr>
            <w:tcW w:type="dxa" w:w="680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Existe un problema concreto que lo requiera —volumen de consulta o de redacción medido—, no la mera disponibilidad de la tecnología</w:t>
            </w:r>
          </w:p>
        </w:tc>
      </w:tr>
    </w:tbl>
    <w:p>
      <w:pPr>
        <w:pStyle w:val="Heading1"/>
      </w:pPr>
      <w:r>
        <w:t xml:space="preserve">6 · Estimación, riesgos y dependencias</w:t>
      </w:r>
    </w:p>
    <w:p>
      <w:pPr>
        <w:pStyle w:val="Heading2"/>
      </w:pPr>
      <w:r>
        <w:t xml:space="preserve">6.1 Estimación por t-shirt sizing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8"/>
        <w:gridCol w:w="6174"/>
        <w:gridCol w:w="1008"/>
      </w:tblGrid>
      <w:tr>
        <w:trPr>
          <w:tblHeader/>
        </w:trPr>
        <w:tc>
          <w:tcPr>
            <w:tcW w:type="dxa" w:w="2898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Componente</w:t>
            </w:r>
          </w:p>
        </w:tc>
        <w:tc>
          <w:tcPr>
            <w:tcW w:type="dxa" w:w="6174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Contenido</w:t>
            </w:r>
          </w:p>
        </w:tc>
        <w:tc>
          <w:tcPr>
            <w:tcW w:type="dxa" w:w="1008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Talla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Discovery y definición de reglas</w:t>
            </w:r>
          </w:p>
        </w:tc>
        <w:tc>
          <w:tcPr>
            <w:tcW w:type="dxa" w:w="617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Sesión de clarificación, elección del tipo de vencimiento, revisión de datos y de casos reales</w:t>
            </w:r>
          </w:p>
        </w:tc>
        <w:tc>
          <w:tcPr>
            <w:tcW w:type="dxa" w:w="10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Acceso a la fuente y detección</w:t>
            </w:r>
          </w:p>
        </w:tc>
        <w:tc>
          <w:tcPr>
            <w:tcW w:type="dxa" w:w="617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Conexión a la fuente acordada, normalización, cálculo de tiempo restante, reporte de descartes</w:t>
            </w:r>
          </w:p>
        </w:tc>
        <w:tc>
          <w:tcPr>
            <w:tcW w:type="dxa" w:w="10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Aviso y control de duplicados</w:t>
            </w:r>
          </w:p>
        </w:tc>
        <w:tc>
          <w:tcPr>
            <w:tcW w:type="dxa" w:w="617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Envío por el canal interno existente, agrupación, supresión por excepción</w:t>
            </w:r>
          </w:p>
        </w:tc>
        <w:tc>
          <w:tcPr>
            <w:tcW w:type="dxa" w:w="10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S–M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Seguimiento, estados y trazabilidad</w:t>
            </w:r>
          </w:p>
        </w:tc>
        <w:tc>
          <w:tcPr>
            <w:tcW w:type="dxa" w:w="617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Lista de trabajo, estados, registro de gestión, bitácora de acciones</w:t>
            </w:r>
          </w:p>
        </w:tc>
        <w:tc>
          <w:tcPr>
            <w:tcW w:type="dxa" w:w="10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Escalamiento y desactivación de reglas</w:t>
            </w:r>
          </w:p>
        </w:tc>
        <w:tc>
          <w:tcPr>
            <w:tcW w:type="dxa" w:w="617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Regla de escalamiento interno e interruptor por regla</w:t>
            </w:r>
          </w:p>
        </w:tc>
        <w:tc>
          <w:tcPr>
            <w:tcW w:type="dxa" w:w="10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28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Primera acción automática (condicionada a H-07)</w:t>
            </w:r>
          </w:p>
        </w:tc>
        <w:tc>
          <w:tcPr>
            <w:tcW w:type="dxa" w:w="6174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Ejecución determinística, reversa, excepciones y traza</w:t>
            </w:r>
          </w:p>
        </w:tc>
        <w:tc>
          <w:tcPr>
            <w:tcW w:type="dxa" w:w="10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M</w:t>
            </w:r>
          </w:p>
        </w:tc>
      </w:tr>
    </w:tbl>
    <w:p>
      <w:pPr>
        <w:spacing w:after="11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MVP global: talla M.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Como orientación —y sólo como orientación— eso suele situarse en el orden de un par de sprints con un equipo pequeño.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No convierto esta talla en fechas ni en días-persona antes de responder las preguntas bloqueantes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, porque hacerlo sería falsa precisión.</w:t>
      </w:r>
    </w:p>
    <w:p>
      <w:pPr>
        <w:spacing w:after="4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5F706D"/>
          <w:spacing w:val="24"/>
          <w:sz w:val="16"/>
          <w:szCs w:val="16"/>
        </w:rPr>
        <w:t xml:space="preserve">FACTORES QUE PUEDEN MOVER LA TALLA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Calidad del dato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— si una proporción alta de registros carece de fecha o responsable, entra trabajo de saneamiento previo.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Mecanismo de acceso a la fuente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— un servicio disponible mantiene la talla; una extracción indirecta o manual la sube.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Existencia de un estado de resolución observable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(H-06) y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de una acción segura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(H-07) — sin el primero no hay cierre automático; sin la segunda, el componente de automatización sale y la talla baja.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Número de reglas de asignación y excepción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— la complejidad está en los casos particulares, no en el camino feliz.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Canal interno ya disponible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(H-05) y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periodicidad suficiente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(H-08) — habilitar un canal nuevo añade dependencia externa, y exigir reacción inmediata convierte la lista de trabajo en un motor de eventos: cada uno sube la talla.</w:t>
      </w:r>
    </w:p>
    <w:p>
      <w:pPr>
        <w:pStyle w:val="Heading2"/>
      </w:pPr>
      <w:r>
        <w:t xml:space="preserve">6.2 Riesgos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882"/>
        <w:gridCol w:w="882"/>
        <w:gridCol w:w="5166"/>
      </w:tblGrid>
      <w:tr>
        <w:trPr>
          <w:tblHeader/>
        </w:trPr>
        <w:tc>
          <w:tcPr>
            <w:tcW w:type="dxa" w:w="3150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Riesgo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Prob.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Imp.</w:t>
            </w:r>
          </w:p>
        </w:tc>
        <w:tc>
          <w:tcPr>
            <w:tcW w:type="dxa" w:w="5166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Mitigación y disparador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Calidad de datos insuficiente: fechas ausentes o poco confiables producen avisos falsos o, peor, casos no detectados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Alta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Alto</w:t>
            </w:r>
          </w:p>
        </w:tc>
        <w:tc>
          <w:tcPr>
            <w:tcW w:type="dxa" w:w="51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Revisión de datos la primera semana.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Disparador: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si los registros utilizables quedan por debajo de lo acordado, el alcance se reduce y se comunica de inmediato, no al final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Accesos e integraciones se retrasan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Alta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Alto</w:t>
            </w:r>
          </w:p>
        </w:tc>
        <w:tc>
          <w:tcPr>
            <w:tcW w:type="dxa" w:w="51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Solicitud formal el primer día con dueño nombrado.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Alternativa: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extracción programada mientras se resuelve el acceso definitivo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Automatización incorrecta, o acciones irreversibles automatizadas por presión de la expectativa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Media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Muy alto</w:t>
            </w:r>
          </w:p>
        </w:tc>
        <w:tc>
          <w:tcPr>
            <w:tcW w:type="dxa" w:w="51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Sólo acciones internas y reversibles, con verificación previa, traza, desactivación inmediata y piloto acotado. La frontera está declarada en B-03 y §4.2; cualquier excepción requiere aprobación escrita del PO y de Jurídico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Product Owner no disponible para decidir, o equipo piloto sin tiempo (H-09)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Media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Alto</w:t>
            </w:r>
          </w:p>
        </w:tc>
        <w:tc>
          <w:tcPr>
            <w:tcW w:type="dxa" w:w="51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Plazo acordado para decidir; vencido, la hipótesis de §3 queda vigente y se registra como decisión por omisión</w:t>
            </w:r>
          </w:p>
        </w:tc>
      </w:tr>
      <w:tr>
        <w:trPr>
          <w:cantSplit/>
        </w:trPr>
        <w:tc>
          <w:tcPr>
            <w:tcW w:type="dxa" w:w="315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Crecimiento no controlado del alcance («aprovechando, agreguen…»)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Alta</w:t>
            </w:r>
          </w:p>
        </w:tc>
        <w:tc>
          <w:tcPr>
            <w:tcW w:type="dxa" w:w="88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Medio</w:t>
            </w:r>
          </w:p>
        </w:tc>
        <w:tc>
          <w:tcPr>
            <w:tcW w:type="dxa" w:w="5166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Alcance congelado al cerrar discovery; un cambio entra, otro sale, o se mueve la fecha; desviación visible como métrica (§8)</w:t>
            </w:r>
          </w:p>
        </w:tc>
      </w:tr>
    </w:tbl>
    <w:p>
      <w:pPr>
        <w:pStyle w:val="Heading2"/>
      </w:pPr>
      <w:r>
        <w:t xml:space="preserve">6.3 Dependencias externas</w:t>
      </w: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Distintas de los riesgos: son cosas que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otro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debe entregar para que el MVP avance.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8"/>
        <w:gridCol w:w="2772"/>
      </w:tblGrid>
      <w:tr>
        <w:trPr>
          <w:tblHeader/>
        </w:trPr>
        <w:tc>
          <w:tcPr>
            <w:tcW w:type="dxa" w:w="7308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Dependencia</w:t>
            </w:r>
          </w:p>
        </w:tc>
        <w:tc>
          <w:tcPr>
            <w:tcW w:type="dxa" w:w="2772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73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Acceso a la fuente de datos acordada y a un ambiente de pruebas con datos representativos</w:t>
            </w:r>
          </w:p>
        </w:tc>
        <w:tc>
          <w:tcPr>
            <w:tcW w:type="dxa" w:w="27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TI</w:t>
            </w:r>
          </w:p>
        </w:tc>
      </w:tr>
      <w:tr>
        <w:trPr>
          <w:cantSplit/>
        </w:trPr>
        <w:tc>
          <w:tcPr>
            <w:tcW w:type="dxa" w:w="73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Product Owner designado con autoridad para priorizar y decidir</w:t>
            </w:r>
          </w:p>
        </w:tc>
        <w:tc>
          <w:tcPr>
            <w:tcW w:type="dxa" w:w="27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Gerencia</w:t>
            </w:r>
          </w:p>
        </w:tc>
      </w:tr>
      <w:tr>
        <w:trPr>
          <w:cantSplit/>
        </w:trPr>
        <w:tc>
          <w:tcPr>
            <w:tcW w:type="dxa" w:w="73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Definición formal del rol responsable del caso, si hoy no existe</w:t>
            </w:r>
          </w:p>
        </w:tc>
        <w:tc>
          <w:tcPr>
            <w:tcW w:type="dxa" w:w="27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Operaciones</w:t>
            </w:r>
          </w:p>
        </w:tc>
      </w:tr>
      <w:tr>
        <w:trPr>
          <w:cantSplit/>
        </w:trPr>
        <w:tc>
          <w:tcPr>
            <w:tcW w:type="dxa" w:w="73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Canal interno habilitado para notificar, y criterio de excepciones y prórrogas validado</w:t>
            </w:r>
          </w:p>
        </w:tc>
        <w:tc>
          <w:tcPr>
            <w:tcW w:type="dxa" w:w="27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TI + Operaciones</w:t>
            </w:r>
          </w:p>
        </w:tc>
      </w:tr>
      <w:tr>
        <w:trPr>
          <w:cantSplit/>
        </w:trPr>
        <w:tc>
          <w:tcPr>
            <w:tcW w:type="dxa" w:w="730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Revisión de tratamiento de datos personales y retención</w:t>
            </w:r>
          </w:p>
        </w:tc>
        <w:tc>
          <w:tcPr>
            <w:tcW w:type="dxa" w:w="2772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8"/>
                <w:szCs w:val="18"/>
              </w:rPr>
              <w:t xml:space="preserve">Jurídico / Cumplimiento</w:t>
            </w:r>
          </w:p>
        </w:tc>
      </w:tr>
    </w:tbl>
    <w:p>
      <w:pPr>
        <w:pStyle w:val="Heading1"/>
      </w:pPr>
      <w:r>
        <w:t xml:space="preserve">7 · Criterios de aceptación del MVP</w:t>
      </w: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Seis criterios verificables. Los umbrales concretos quedan pendientes de A-02 y E-01; donde aparece un valor, es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objetivo propuesto sujeto a validación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, no un dato conocido. Ninguno introduce funcionalidad declarada fuera de alcance: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todos los avisos son internos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.</w:t>
      </w:r>
    </w:p>
    <w:p>
      <w:pPr>
        <w:pBdr>
          <w:left w:val="single" w:color="0B6E63" w:sz="14" w:space="10"/>
        </w:pBdr>
        <w:spacing w:after="30" w:before="150" w:line="240"/>
        <w:ind w:left="120"/>
      </w:pPr>
      <w:r>
        <w:rPr>
          <w:rFonts w:ascii="Calibri" w:cs="Calibri" w:eastAsia="Calibri" w:hAnsi="Calibri"/>
          <w:b/>
          <w:bCs/>
          <w:color w:val="07514A"/>
          <w:sz w:val="18"/>
          <w:szCs w:val="18"/>
        </w:rPr>
        <w:t xml:space="preserve">CA-01 · Detección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un registro elegible con una fecha de vencimiento válida disponible en la fuente acordada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Cuando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se ejecuta la revisión programada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el caso queda detectado, con su fecha, tiempo restante y responsable asignado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Y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el 100% de los registros elegibles con fecha válida en esa fuente queda representado en la lista de seguimiento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i/>
          <w:iCs/>
          <w:color w:val="5F706D"/>
          <w:sz w:val="16"/>
          <w:szCs w:val="16"/>
        </w:rPr>
        <w:t xml:space="preserve"># Escenario negativo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un registro sin fecha válida o sin identificador</w:t>
      </w:r>
    </w:p>
    <w:p>
      <w:pPr>
        <w:pBdr>
          <w:left w:val="single" w:color="0B6E63" w:sz="14" w:space="10"/>
        </w:pBdr>
        <w:spacing w:after="13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no se descarta en silencio: aparece en el reporte de descartes con su motivo.</w:t>
      </w:r>
    </w:p>
    <w:p>
      <w:pPr>
        <w:pBdr>
          <w:left w:val="single" w:color="0B6E63" w:sz="14" w:space="10"/>
        </w:pBdr>
        <w:spacing w:after="30" w:before="150" w:line="240"/>
        <w:ind w:left="120"/>
      </w:pPr>
      <w:r>
        <w:rPr>
          <w:rFonts w:ascii="Calibri" w:cs="Calibri" w:eastAsia="Calibri" w:hAnsi="Calibri"/>
          <w:b/>
          <w:bCs/>
          <w:color w:val="07514A"/>
          <w:sz w:val="18"/>
          <w:szCs w:val="18"/>
        </w:rPr>
        <w:t xml:space="preserve">CA-02 · Notificación interna y prevención de duplicados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un caso que entra en la ventana de aviso acordada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Cuando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se ejecuta la revisión programada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el responsable asignado recibe el aviso por el canal interno definido, con la información mínima para actuar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i/>
          <w:iCs/>
          <w:color w:val="5F706D"/>
          <w:sz w:val="16"/>
          <w:szCs w:val="16"/>
        </w:rPr>
        <w:t xml:space="preserve"># Escenario negativo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que ese mismo caso ya generó un aviso dentro de la misma ventana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Cuando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vuelve a ejecutarse la revisión</w:t>
      </w:r>
    </w:p>
    <w:p>
      <w:pPr>
        <w:pBdr>
          <w:left w:val="single" w:color="0B6E63" w:sz="14" w:space="10"/>
        </w:pBdr>
        <w:spacing w:after="13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no se emite un aviso adicional fuera de las reglas de cadencia acordadas.</w:t>
      </w:r>
    </w:p>
    <w:p>
      <w:pPr>
        <w:pBdr>
          <w:left w:val="single" w:color="0B6E63" w:sz="14" w:space="10"/>
        </w:pBdr>
        <w:spacing w:after="30" w:before="150" w:line="240"/>
        <w:ind w:left="120"/>
      </w:pPr>
      <w:r>
        <w:rPr>
          <w:rFonts w:ascii="Calibri" w:cs="Calibri" w:eastAsia="Calibri" w:hAnsi="Calibri"/>
          <w:b/>
          <w:bCs/>
          <w:color w:val="07514A"/>
          <w:sz w:val="18"/>
          <w:szCs w:val="18"/>
        </w:rPr>
        <w:t xml:space="preserve">CA-03 · Casos que no deben seguir generando avisos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un caso con avisos activos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Cuando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la fuente acordada refleja que el caso quedó resuelto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deja de generar recordatorios desde la siguiente ejecución, y cualquier acción pendiente se cancela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i/>
          <w:iCs/>
          <w:color w:val="5F706D"/>
          <w:sz w:val="16"/>
          <w:szCs w:val="16"/>
        </w:rPr>
        <w:t xml:space="preserve"># Excepciones y prórrogas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un caso con una prórroga o excepción registrada y vigente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Cuando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se ejecuta la revisión programada</w:t>
      </w:r>
    </w:p>
    <w:p>
      <w:pPr>
        <w:pBdr>
          <w:left w:val="single" w:color="0B6E63" w:sz="14" w:space="10"/>
        </w:pBdr>
        <w:spacing w:after="13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no se genera ningún aviso mientras dure la vigencia, y al terminar el caso vuelve a evaluarse con normalidad.</w:t>
      </w:r>
    </w:p>
    <w:p>
      <w:pPr>
        <w:pBdr>
          <w:left w:val="single" w:color="0B6E63" w:sz="14" w:space="10"/>
        </w:pBdr>
        <w:spacing w:after="30" w:before="150" w:line="240"/>
        <w:ind w:left="120"/>
      </w:pPr>
      <w:r>
        <w:rPr>
          <w:rFonts w:ascii="Calibri" w:cs="Calibri" w:eastAsia="Calibri" w:hAnsi="Calibri"/>
          <w:b/>
          <w:bCs/>
          <w:color w:val="07514A"/>
          <w:sz w:val="18"/>
          <w:szCs w:val="18"/>
        </w:rPr>
        <w:t xml:space="preserve">CA-04 · Fallo de integración o de notificación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que la fuente acordada no responde durante la ventana de ejecución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Cuando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corresponde emitir avisos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no se emiten avisos con datos de una ejecución anterior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Y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la lista de seguimiento indica de forma visible que el dato está desactualizado y desde cuándo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Y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el fallo se reporta a los responsables técnicos y operativos, sin quedar en silencio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i/>
          <w:iCs/>
          <w:color w:val="5F706D"/>
          <w:sz w:val="16"/>
          <w:szCs w:val="16"/>
        </w:rPr>
        <w:t xml:space="preserve"># Escenario negativo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que el envío de un aviso falla tras los reintentos definidos</w:t>
      </w:r>
    </w:p>
    <w:p>
      <w:pPr>
        <w:pBdr>
          <w:left w:val="single" w:color="0B6E63" w:sz="14" w:space="10"/>
        </w:pBdr>
        <w:spacing w:after="13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el caso queda marcado para atención manual y visible para el responsable.</w:t>
      </w:r>
    </w:p>
    <w:p>
      <w:pPr>
        <w:pBdr>
          <w:left w:val="single" w:color="0B6E63" w:sz="14" w:space="10"/>
        </w:pBdr>
        <w:spacing w:after="30" w:before="150" w:line="240"/>
        <w:ind w:left="120"/>
      </w:pPr>
      <w:r>
        <w:rPr>
          <w:rFonts w:ascii="Calibri" w:cs="Calibri" w:eastAsia="Calibri" w:hAnsi="Calibri"/>
          <w:b/>
          <w:bCs/>
          <w:color w:val="07514A"/>
          <w:sz w:val="18"/>
          <w:szCs w:val="18"/>
        </w:rPr>
        <w:t xml:space="preserve">CA-05 · Trazabilidad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cualquier caso gestionado por el sistema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Cuando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se consulta su detalle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se observa la secuencia completa de avisos y acciones, con actor, momento, resultado y regla que la originó</w:t>
      </w:r>
    </w:p>
    <w:p>
      <w:pPr>
        <w:pBdr>
          <w:left w:val="single" w:color="0B6E63" w:sz="14" w:space="10"/>
        </w:pBdr>
        <w:spacing w:after="13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Y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se distingue explícitamente si cada acción fue humana o automática.</w:t>
      </w:r>
    </w:p>
    <w:p>
      <w:pPr>
        <w:pBdr>
          <w:left w:val="single" w:color="0B6E63" w:sz="14" w:space="10"/>
        </w:pBdr>
        <w:spacing w:after="30" w:before="150" w:line="240"/>
        <w:ind w:left="120"/>
      </w:pPr>
      <w:r>
        <w:rPr>
          <w:rFonts w:ascii="Calibri" w:cs="Calibri" w:eastAsia="Calibri" w:hAnsi="Calibri"/>
          <w:b/>
          <w:bCs/>
          <w:color w:val="07514A"/>
          <w:sz w:val="18"/>
          <w:szCs w:val="18"/>
        </w:rPr>
        <w:t xml:space="preserve">CA-06 · Automatización segura (aplica sólo si H-07 se confirma)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un caso que cumple todas las condiciones acordadas para la acción automática interna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Cuando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el sistema la ejecuta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la acción queda registrada con marca de automática y es reversible por una persona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i/>
          <w:iCs/>
          <w:color w:val="5F706D"/>
          <w:sz w:val="16"/>
          <w:szCs w:val="16"/>
        </w:rPr>
        <w:t xml:space="preserve"># Escenario negativo</w:t>
      </w:r>
    </w:p>
    <w:p>
      <w:pPr>
        <w:pBdr>
          <w:left w:val="single" w:color="0B6E63" w:sz="14" w:space="10"/>
        </w:pBdr>
        <w:spacing w:after="1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Dado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un caso que no cumple alguna de las condiciones acordadas</w:t>
      </w:r>
    </w:p>
    <w:p>
      <w:pPr>
        <w:pBdr>
          <w:left w:val="single" w:color="0B6E63" w:sz="14" w:space="10"/>
        </w:pBdr>
        <w:spacing w:after="130" w:line="226"/>
        <w:ind w:left="120"/>
      </w:pPr>
      <w:r>
        <w:rPr>
          <w:rFonts w:ascii="Consolas" w:cs="Consolas" w:eastAsia="Consolas" w:hAnsi="Consolas"/>
          <w:b/>
          <w:bCs/>
          <w:color w:val="0B6E63"/>
          <w:sz w:val="16"/>
          <w:szCs w:val="16"/>
        </w:rPr>
        <w:t xml:space="preserve">Entonces </w:t>
      </w:r>
      <w:r>
        <w:rPr>
          <w:rFonts w:ascii="Consolas" w:cs="Consolas" w:eastAsia="Consolas" w:hAnsi="Consolas"/>
          <w:color w:val="3A4A47"/>
          <w:sz w:val="16"/>
          <w:szCs w:val="16"/>
        </w:rPr>
        <w:t xml:space="preserve">la acción no se ejecuta y el caso se deriva a intervención humana, quedando visible y no silenciosamente sin atender.</w:t>
      </w:r>
    </w:p>
    <w:p>
      <w:pPr>
        <w:pStyle w:val="Heading1"/>
      </w:pPr>
      <w:r>
        <w:t xml:space="preserve">8 · Métricas de éxito</w:t>
      </w: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Tres métricas principales: que el problema de negocio se resolvió, que el usuario está mejor y que el proyecto se comportó como se prometió. Los objetivos son </w:t>
      </w: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propuestos y sujetos a acuerdo con Operaciones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; ninguna línea base se inventa.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"/>
        <w:gridCol w:w="3798"/>
        <w:gridCol w:w="1688"/>
        <w:gridCol w:w="2110"/>
        <w:gridCol w:w="2109"/>
      </w:tblGrid>
      <w:tr>
        <w:tc>
          <w:tcPr>
            <w:tcW w:type="dxa" w:w="10080"/>
            <w:gridSpan w:val="5"/>
            <w:tcBorders>
              <w:top w:val="single" w:color="0B6E63" w:sz="4"/>
              <w:left w:val="single" w:color="0B6E63" w:sz="4"/>
              <w:bottom w:val="single" w:color="0B6E63" w:sz="4"/>
              <w:right w:val="single" w:color="0B6E63" w:sz="4"/>
            </w:tcBorders>
            <w:shd w:fill="0B6E63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4"/>
                <w:sz w:val="15"/>
                <w:szCs w:val="15"/>
              </w:rPr>
              <w:t xml:space="preserve">MÉTRICAS PRINCIPALES</w:t>
            </w:r>
          </w:p>
        </w:tc>
      </w:tr>
      <w:tr>
        <w:trPr>
          <w:tblHeader/>
        </w:trPr>
        <w:tc>
          <w:tcPr>
            <w:tcW w:type="dxa" w:w="375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#</w:t>
            </w:r>
          </w:p>
        </w:tc>
        <w:tc>
          <w:tcPr>
            <w:tcW w:type="dxa" w:w="3798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Métrica y definición</w:t>
            </w:r>
          </w:p>
        </w:tc>
        <w:tc>
          <w:tcPr>
            <w:tcW w:type="dxa" w:w="1688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Línea base</w:t>
            </w:r>
          </w:p>
        </w:tc>
        <w:tc>
          <w:tcPr>
            <w:tcW w:type="dxa" w:w="2110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Objetivo propuesto</w:t>
            </w:r>
          </w:p>
        </w:tc>
        <w:tc>
          <w:tcPr>
            <w:tcW w:type="dxa" w:w="2109"/>
            <w:tcBorders>
              <w:top w:val="single" w:color="C9D6D2" w:sz="4"/>
              <w:left w:val="single" w:color="C9D6D2" w:sz="4"/>
              <w:bottom w:val="single" w:color="0B6E63" w:sz="8"/>
              <w:right w:val="single" w:color="C9D6D2" w:sz="4"/>
            </w:tcBorders>
            <w:shd w:fill="EEF3F1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7514A"/>
                <w:sz w:val="16"/>
                <w:szCs w:val="16"/>
              </w:rPr>
              <w:t xml:space="preserve">Momento de medición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1</w:t>
            </w:r>
          </w:p>
        </w:tc>
        <w:tc>
          <w:tcPr>
            <w:tcW w:type="dxa" w:w="37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Fuga de vencimientos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(resultado de negocio)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Casos elegibles que llegan al vencimiento sin gestión registrada ÷ total de casos elegibles vencidos en el periodo.</w:t>
            </w:r>
          </w:p>
        </w:tc>
        <w:tc>
          <w:tcPr>
            <w:tcW w:type="dxa" w:w="168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Por medir durante discovery</w:t>
            </w:r>
          </w:p>
        </w:tc>
        <w:tc>
          <w:tcPr>
            <w:tcW w:type="dxa" w:w="21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Reducción significativa respecto de la línea base, acordada con Operaciones</w:t>
            </w:r>
          </w:p>
        </w:tc>
        <w:tc>
          <w:tcPr>
            <w:tcW w:type="dxa" w:w="210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Línea base antes de liberar; corte semanal durante el piloto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2</w:t>
            </w:r>
          </w:p>
        </w:tc>
        <w:tc>
          <w:tcPr>
            <w:tcW w:type="dxa" w:w="37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Esfuerzo percibido del usuario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(satisfacción)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Encuesta breve semanal al equipo piloto: «¿qué tan fácil te resultó mantenerte al día con tus vencimientos esta semana?», escala 1–5, más una caja de texto abierta.</w:t>
            </w:r>
          </w:p>
        </w:tc>
        <w:tc>
          <w:tcPr>
            <w:tcW w:type="dxa" w:w="168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Por medir antes de liberar</w:t>
            </w:r>
          </w:p>
        </w:tc>
        <w:tc>
          <w:tcPr>
            <w:tcW w:type="dxa" w:w="21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Mejora sostenida frente a la línea base, con objetivo a convenir</w:t>
            </w:r>
          </w:p>
        </w:tc>
        <w:tc>
          <w:tcPr>
            <w:tcW w:type="dxa" w:w="210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7FA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Semanal, desde dos semanas antes de liberar</w:t>
            </w:r>
          </w:p>
        </w:tc>
      </w:tr>
      <w:tr>
        <w:trPr>
          <w:cantSplit/>
        </w:trPr>
        <w:tc>
          <w:tcPr>
            <w:tcW w:type="dxa" w:w="375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111C1A"/>
                <w:sz w:val="17"/>
                <w:szCs w:val="17"/>
              </w:rPr>
              <w:t xml:space="preserve">3</w:t>
            </w:r>
          </w:p>
        </w:tc>
        <w:tc>
          <w:tcPr>
            <w:tcW w:type="dxa" w:w="379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111C1A"/>
                <w:sz w:val="17"/>
                <w:szCs w:val="17"/>
              </w:rPr>
              <w:t xml:space="preserve">Desviación de alcance y de tiempo</w:t>
            </w: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 (salud del proyecto)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Alcance: historias añadidas después de cerrar el alcance ÷ historias comprometidas.</w:t>
            </w:r>
          </w:p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Tiempo: (fecha real − fecha acordada) ÷ duración planeada.</w:t>
            </w:r>
          </w:p>
        </w:tc>
        <w:tc>
          <w:tcPr>
            <w:tcW w:type="dxa" w:w="1688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0% al congelar el alcance</w:t>
            </w:r>
          </w:p>
        </w:tc>
        <w:tc>
          <w:tcPr>
            <w:tcW w:type="dxa" w:w="2110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Ambas desviaciones dentro del rango que se acuerde al cerrar discovery</w:t>
            </w:r>
          </w:p>
        </w:tc>
        <w:tc>
          <w:tcPr>
            <w:tcW w:type="dxa" w:w="2109"/>
            <w:tcBorders>
              <w:top w:val="single" w:color="C9D6D2" w:sz="4"/>
              <w:left w:val="single" w:color="C9D6D2" w:sz="4"/>
              <w:bottom w:val="single" w:color="C9D6D2" w:sz="4"/>
              <w:right w:val="single" w:color="C9D6D2" w:sz="4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color w:val="111C1A"/>
                <w:sz w:val="17"/>
                <w:szCs w:val="17"/>
              </w:rPr>
              <w:t xml:space="preserve">Corte quincenal, visible en cada revisión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5F706D"/>
          <w:spacing w:val="24"/>
          <w:sz w:val="16"/>
          <w:szCs w:val="16"/>
        </w:rPr>
        <w:t xml:space="preserve">GUARDARRAÍLES (SECUNDARIOS, NO SON LAS TRES PRINCIPALES)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Tasa de corrección de acciones automáticas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— canceladas o corregidas ÷ ejecutadas. Si sube por encima de lo acordado, la acción vuelve a N2.</w:t>
      </w:r>
    </w:p>
    <w:p>
      <w:pPr>
        <w:pStyle w:val="ListParagraph"/>
        <w:numPr>
          <w:ilvl w:val="0"/>
          <w:numId w:val="3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Avisos sobre casos ya resueltos o con prórroga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— debe tender a cero; indicador temprano de pérdida de confianza.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0B6E63" w:sz="18"/>
              <w:bottom w:val="none" w:color="FFFFFF" w:sz="0"/>
              <w:right w:val="none" w:color="FFFFFF" w:sz="0"/>
            </w:tcBorders>
            <w:shd w:fill="E4F0ED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B6E63"/>
                <w:spacing w:val="24"/>
                <w:sz w:val="15"/>
                <w:szCs w:val="15"/>
              </w:rPr>
              <w:t xml:space="preserve">NOTA DE MÉTODO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Las líneas base de las métricas 1 y 2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20"/>
                <w:szCs w:val="20"/>
              </w:rPr>
              <w:t xml:space="preserve">se miden antes de liberar</w:t>
            </w: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, no después. Sin esa medición previa, cualquier resultado del piloto es una anécdota y el proyecto pierde la única evidencia con la que puede pedir la Fase 2.</w:t>
            </w:r>
          </w:p>
        </w:tc>
      </w:tr>
    </w:tbl>
    <w:p>
      <w:pPr>
        <w:pStyle w:val="Heading1"/>
      </w:pPr>
      <w:r>
        <w:t xml:space="preserve">9 · Próximos pasos</w:t>
      </w:r>
    </w:p>
    <w:p>
      <w:pPr>
        <w:spacing w:after="110" w:line="238"/>
      </w:pPr>
      <w:r>
        <w:rPr>
          <w:rFonts w:ascii="Calibri" w:cs="Calibri" w:eastAsia="Calibri" w:hAnsi="Calibri"/>
          <w:color w:val="111C1A"/>
          <w:sz w:val="19"/>
          <w:szCs w:val="19"/>
        </w:rPr>
        <w:t xml:space="preserve">Sólo lo necesario para cerrar discovery y arrancar el MVP.</w:t>
      </w:r>
    </w:p>
    <w:p>
      <w:pPr>
        <w:pStyle w:val="ListParagraph"/>
        <w:numPr>
          <w:ilvl w:val="0"/>
          <w:numId w:val="5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Sesión de clarificación de 60 minutos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con Operaciones y Cobranza en la misma sala → las seis preguntas bloqueantes respondidas y el tipo de vencimiento elegido.</w:t>
      </w:r>
    </w:p>
    <w:p>
      <w:pPr>
        <w:pStyle w:val="ListParagraph"/>
        <w:numPr>
          <w:ilvl w:val="0"/>
          <w:numId w:val="5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Observación del proceso real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con una persona del equipo y revisión de casos perdidos reales → el proceso como sucede, no como se declara, y la lectura directa de las quejas (C-04).</w:t>
      </w:r>
    </w:p>
    <w:p>
      <w:pPr>
        <w:pStyle w:val="ListParagraph"/>
        <w:numPr>
          <w:ilvl w:val="0"/>
          <w:numId w:val="5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Revisión de la calidad y disponibilidad del dato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en la fuente acordada → confirma o descarta H-01, H-03 y H-06, y define si la automatización entra al MVP.</w:t>
      </w:r>
    </w:p>
    <w:p>
      <w:pPr>
        <w:pStyle w:val="ListParagraph"/>
        <w:numPr>
          <w:ilvl w:val="0"/>
          <w:numId w:val="5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Solicitud formal de accesos y ambiente de pruebas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→ destraba la dependencia más lenta antes de escribir código.</w:t>
      </w:r>
    </w:p>
    <w:p>
      <w:pPr>
        <w:pStyle w:val="ListParagraph"/>
        <w:numPr>
          <w:ilvl w:val="0"/>
          <w:numId w:val="5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Medición de la línea base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de las métricas 1 y 2 → la evidencia con la que se decidirá si hay Fase 2.</w:t>
      </w:r>
    </w:p>
    <w:p>
      <w:pPr>
        <w:pStyle w:val="ListParagraph"/>
        <w:numPr>
          <w:ilvl w:val="0"/>
          <w:numId w:val="5"/>
        </w:numPr>
        <w:spacing w:after="50" w:line="238"/>
      </w:pPr>
      <w:r>
        <w:rPr>
          <w:rFonts w:ascii="Calibri" w:cs="Calibri" w:eastAsia="Calibri" w:hAnsi="Calibri"/>
          <w:b/>
          <w:bCs/>
          <w:color w:val="111C1A"/>
          <w:sz w:val="19"/>
          <w:szCs w:val="19"/>
        </w:rPr>
        <w:t xml:space="preserve">Cierre del alcance por escrito con el Product Owner</w:t>
      </w:r>
      <w:r>
        <w:rPr>
          <w:rFonts w:ascii="Calibri" w:cs="Calibri" w:eastAsia="Calibri" w:hAnsi="Calibri"/>
          <w:color w:val="111C1A"/>
          <w:sz w:val="19"/>
          <w:szCs w:val="19"/>
        </w:rPr>
        <w:t xml:space="preserve"> y re-estimación → convierte esta propuesta en compromiso y activa la métrica 3.</w:t>
      </w:r>
    </w:p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0B6E63" w:sz="18"/>
              <w:bottom w:val="none" w:color="FFFFFF" w:sz="0"/>
              <w:right w:val="none" w:color="FFFFFF" w:sz="0"/>
            </w:tcBorders>
            <w:shd w:fill="E4F0ED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B6E63"/>
                <w:spacing w:val="24"/>
                <w:sz w:val="15"/>
                <w:szCs w:val="15"/>
              </w:rPr>
              <w:t xml:space="preserve">EL COMPROMISO, EN UNA FRASE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No prometo que todo se resuelva solo. Comprometo que, para el tipo de vencimiento que se priorice, </w:t>
            </w:r>
            <w:r>
              <w:rPr>
                <w:rFonts w:ascii="Calibri" w:cs="Calibri" w:eastAsia="Calibri" w:hAnsi="Calibri"/>
                <w:b/>
                <w:bCs/>
                <w:color w:val="111C1A"/>
                <w:sz w:val="20"/>
                <w:szCs w:val="20"/>
              </w:rPr>
              <w:t xml:space="preserve">ningún caso elegible con fecha válida llegará a vencer sin que el sistema haya generado oportunamente el aviso correspondiente al responsable y dejado trazabilidad de ello</w:t>
            </w:r>
            <w:r>
              <w:rPr>
                <w:rFonts w:ascii="Calibri" w:cs="Calibri" w:eastAsia="Calibri" w:hAnsi="Calibri"/>
                <w:color w:val="111C1A"/>
                <w:sz w:val="20"/>
                <w:szCs w:val="20"/>
              </w:rPr>
              <w:t xml:space="preserve">; y que automatizaré únicamente aquello que Operaciones confirme como seguro, reversible y verificable.</w:t>
            </w:r>
          </w:p>
        </w:tc>
      </w:tr>
    </w:tbl>
    <w:sectPr>
      <w:footerReference w:type="default" r:id="rId7"/>
      <w:pgSz w:w="12240" w:h="15840" w:orient="portrait"/>
      <w:pgMar w:top="1080" w:right="1080" w:bottom="1000" w:left="1080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2" w:sz="4" w:space="6"/>
      </w:pBdr>
      <w:tabs>
        <w:tab w:val="right" w:pos="10080"/>
      </w:tabs>
    </w:pPr>
    <w:r>
      <w:rPr>
        <w:rFonts w:ascii="Calibri" w:cs="Calibri" w:eastAsia="Calibri" w:hAnsi="Calibri"/>
        <w:color w:val="5F706D"/>
        <w:sz w:val="15"/>
        <w:szCs w:val="15"/>
      </w:rPr>
      <w:t xml:space="preserve">Bloque 1 — Aterrizaje de requerimientos · LeaseMD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5F706D"/>
        <w:sz w:val="15"/>
        <w:szCs w:val="15"/>
      </w:rPr>
      <w:t xml:space="preserve">Pág. </w:t>
    </w:r>
    <w:r>
      <w:rPr>
        <w:rFonts w:ascii="Calibri" w:cs="Calibri" w:eastAsia="Calibri" w:hAnsi="Calibri"/>
        <w:b/>
        <w:bCs/>
        <w:color w:val="5F706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706D"/>
        <w:sz w:val="15"/>
        <w:szCs w:val="15"/>
      </w:rPr>
      <w:t xml:space="preserve"> de </w:t>
    </w:r>
    <w:r>
      <w:rPr>
        <w:rFonts w:ascii="Calibri" w:cs="Calibri" w:eastAsia="Calibri" w:hAnsi="Calibri"/>
        <w:color w:val="5F706D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0B6E63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color w:val="5F706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b/>
        <w:bCs/>
        <w:color w:val="0B6E6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b/>
        <w:bCs/>
        <w:color w:val="0B6E63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b/>
        <w:bCs/>
        <w:color w:val="0B6E6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C1A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6E63" w:sz="12" w:space="6"/>
      </w:pBdr>
      <w:spacing w:after="40" w:before="420"/>
    </w:pPr>
    <w:rPr>
      <w:rFonts w:ascii="Calibri" w:cs="Calibri" w:eastAsia="Calibri" w:hAnsi="Calibri"/>
      <w:b/>
      <w:bCs/>
      <w:color w:val="111C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300"/>
    </w:pPr>
    <w:rPr>
      <w:rFonts w:ascii="Calibri" w:cs="Calibri" w:eastAsia="Calibri" w:hAnsi="Calibri"/>
      <w:b/>
      <w:bCs/>
      <w:color w:val="0751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240"/>
    </w:pPr>
    <w:rPr>
      <w:rFonts w:ascii="Calibri" w:cs="Calibri" w:eastAsia="Calibri" w:hAnsi="Calibri"/>
      <w:b/>
      <w:bCs/>
      <w:color w:val="111C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 1 — Aterrizaje de requerimientos · LeaseMD</dc:title>
  <dc:creator>Marco Antonio Rosas Cazares</dc:creator>
  <dc:description>Aterrizaje de requerimientos para el aviso anticipado y la resolución asistida de vencimientos en LeaseMD.</dc:description>
  <cp:lastModifiedBy>Marco Antonio Rosas Cazares</cp:lastModifiedBy>
  <cp:revision>1</cp:revision>
  <dcterms:created xsi:type="dcterms:W3CDTF">2026-08-20T07:55:24.677Z</dcterms:created>
  <dcterms:modified xsi:type="dcterms:W3CDTF">2026-08-20T07:55:24.678Z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