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tbl>
      <w:tblPr>
        <w:tblW w:w="953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7"/>
        <w:gridCol w:w="8283"/>
      </w:tblGrid>
      <w:tr>
        <w:tblPrEx>
          <w:shd w:val="clear" w:color="auto" w:fill="ced7e7"/>
        </w:tblPrEx>
        <w:trPr>
          <w:trHeight w:val="779" w:hRule="atLeast"/>
        </w:trPr>
        <w:tc>
          <w:tcPr>
            <w:tcW w:type="dxa" w:w="1247"/>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Body"/>
            </w:pPr>
            <w:r>
              <w:rPr>
                <w:sz w:val="24"/>
                <w:szCs w:val="24"/>
                <w:shd w:val="nil" w:color="auto" w:fill="auto"/>
              </w:rPr>
              <w:drawing xmlns:a="http://schemas.openxmlformats.org/drawingml/2006/main">
                <wp:inline distT="0" distB="0" distL="0" distR="0">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4">
                            <a:extLst/>
                          </a:blip>
                          <a:stretch>
                            <a:fillRect/>
                          </a:stretch>
                        </pic:blipFill>
                        <pic:spPr>
                          <a:xfrm>
                            <a:off x="0" y="0"/>
                            <a:ext cx="409575" cy="447675"/>
                          </a:xfrm>
                          <a:prstGeom prst="rect">
                            <a:avLst/>
                          </a:prstGeom>
                          <a:ln w="12700" cap="flat">
                            <a:noFill/>
                            <a:miter lim="400000"/>
                          </a:ln>
                          <a:effectLst/>
                        </pic:spPr>
                      </pic:pic>
                    </a:graphicData>
                  </a:graphic>
                </wp:inline>
              </w:drawing>
            </w:r>
          </w:p>
        </w:tc>
        <w:tc>
          <w:tcPr>
            <w:tcW w:type="dxa" w:w="8283"/>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9 - Заглавље"/>
            </w:pPr>
            <w:r>
              <w:rPr>
                <w:shd w:val="nil" w:color="auto" w:fill="auto"/>
                <w:rtl w:val="0"/>
              </w:rPr>
              <w:t>Зборник радова Факултета техничких наука</w:t>
            </w:r>
            <w:r>
              <w:rPr>
                <w:shd w:val="nil" w:color="auto" w:fill="auto"/>
                <w:rtl w:val="0"/>
              </w:rPr>
              <w:t xml:space="preserve">, </w:t>
            </w:r>
            <w:r>
              <w:rPr>
                <w:shd w:val="nil" w:color="auto" w:fill="auto"/>
                <w:rtl w:val="0"/>
                <w:lang w:val="ru-RU"/>
              </w:rPr>
              <w:t>НовиСад</w:t>
            </w:r>
          </w:p>
        </w:tc>
      </w:tr>
    </w:tbl>
    <w:p>
      <w:pPr>
        <w:pStyle w:val="Body"/>
        <w:widowControl w:val="0"/>
        <w:ind w:left="108" w:hanging="108"/>
      </w:pPr>
    </w:p>
    <w:p>
      <w:pPr>
        <w:pStyle w:val="5 - УДК и ДОИ"/>
      </w:pPr>
      <w:r>
        <w:rPr>
          <w:rtl w:val="0"/>
          <w:lang w:val="en-US"/>
        </w:rPr>
        <w:t>УДК</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5 - УДК и ДОИ"/>
      </w:pPr>
      <w:r>
        <w:rPr>
          <w:rtl w:val="0"/>
          <w:lang w:val="en-US"/>
        </w:rPr>
        <w:t>ДОИ</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Body"/>
        <w:jc w:val="center"/>
        <w:rPr>
          <w:sz w:val="12"/>
          <w:szCs w:val="12"/>
        </w:rPr>
      </w:pPr>
    </w:p>
    <w:p>
      <w:pPr>
        <w:pStyle w:val="6 - Наслов рада"/>
      </w:pPr>
      <w:r>
        <w:rPr>
          <w:rtl w:val="0"/>
        </w:rPr>
        <w:t xml:space="preserve">Аутономна експлоатација рањивости контејнерске изолације применом </w:t>
      </w:r>
      <w:r>
        <w:rPr>
          <w:rtl w:val="0"/>
          <w:lang w:val="da-DK"/>
        </w:rPr>
        <w:t xml:space="preserve">LLM </w:t>
      </w:r>
      <w:r>
        <w:rPr>
          <w:rtl w:val="0"/>
        </w:rPr>
        <w:t>агената</w:t>
      </w:r>
    </w:p>
    <w:p>
      <w:pPr>
        <w:pStyle w:val="Body"/>
        <w:jc w:val="center"/>
        <w:rPr>
          <w:sz w:val="12"/>
          <w:szCs w:val="12"/>
        </w:rPr>
      </w:pPr>
    </w:p>
    <w:p>
      <w:pPr>
        <w:pStyle w:val="6 - Наслов рада"/>
        <w:rPr>
          <w:i w:val="1"/>
          <w:iCs w:val="1"/>
        </w:rPr>
      </w:pPr>
      <w:r>
        <w:rPr>
          <w:i w:val="1"/>
          <w:iCs w:val="1"/>
          <w:rtl w:val="0"/>
          <w:lang w:val="en-US"/>
        </w:rPr>
        <w:t>Autonomous Exploitation of Container Isolation Vulnerabilities Using LLM Agents</w:t>
      </w:r>
    </w:p>
    <w:p>
      <w:pPr>
        <w:pStyle w:val="4 - Autori"/>
        <w:spacing w:before="120"/>
        <w:rPr>
          <w:b w:val="1"/>
          <w:bCs w:val="1"/>
          <w:i w:val="1"/>
          <w:iCs w:val="1"/>
        </w:rPr>
      </w:pPr>
      <w:r>
        <w:rPr>
          <w:rtl w:val="0"/>
        </w:rPr>
        <w:t>Марко Ердељи</w:t>
      </w:r>
      <w:r>
        <w:rPr>
          <w:rtl w:val="0"/>
        </w:rPr>
        <w:t>,</w:t>
      </w:r>
      <w:r>
        <w:rPr>
          <w:rtl w:val="0"/>
        </w:rPr>
        <w:t xml:space="preserve"> </w:t>
      </w:r>
      <w:r>
        <w:rPr>
          <w:i w:val="1"/>
          <w:iCs w:val="1"/>
          <w:rtl w:val="0"/>
        </w:rPr>
        <w:t>Факултет техничких наука</w:t>
      </w:r>
      <w:r>
        <w:rPr>
          <w:i w:val="1"/>
          <w:iCs w:val="1"/>
          <w:rtl w:val="0"/>
        </w:rPr>
        <w:t xml:space="preserve">, </w:t>
      </w:r>
      <w:r>
        <w:rPr>
          <w:i w:val="1"/>
          <w:iCs w:val="1"/>
          <w:rtl w:val="0"/>
          <w:lang w:val="ru-RU"/>
        </w:rPr>
        <w:t>Нови Сад</w:t>
      </w:r>
    </w:p>
    <w:p>
      <w:pPr>
        <w:pStyle w:val="Body"/>
        <w:rPr>
          <w:i w:val="1"/>
          <w:iCs w:val="1"/>
          <w:sz w:val="12"/>
          <w:szCs w:val="12"/>
        </w:rPr>
      </w:pPr>
    </w:p>
    <w:p>
      <w:pPr>
        <w:pStyle w:val="Body"/>
        <w:sectPr>
          <w:headerReference w:type="default" r:id="rId5"/>
          <w:footerReference w:type="default" r:id="rId6"/>
          <w:pgSz w:w="11900" w:h="16840" w:orient="portrait"/>
          <w:pgMar w:top="1134" w:right="1134" w:bottom="1134" w:left="1134" w:header="708" w:footer="708"/>
          <w:bidi w:val="0"/>
        </w:sectPr>
      </w:pPr>
      <w:r/>
    </w:p>
    <w:p>
      <w:pPr>
        <w:pStyle w:val="Лабеле (кључне речи"/>
      </w:pPr>
      <w:r>
        <w:rPr>
          <w:rtl w:val="0"/>
        </w:rPr>
        <w:t>Студијски програм – СОФТВЕРСКО ИНЖЕЊЕРСТВО И ИНФОРМАЦИОНЕ ТЕХНОЛОГИЈЕ</w:t>
      </w:r>
    </w:p>
    <w:p>
      <w:pPr>
        <w:pStyle w:val="Body"/>
        <w:ind w:firstLine="0"/>
        <w:rPr>
          <w:i w:val="1"/>
          <w:iCs w:val="1"/>
        </w:rPr>
      </w:pPr>
      <w:r>
        <w:rPr>
          <w:b w:val="1"/>
          <w:bCs w:val="1"/>
          <w:rtl w:val="0"/>
          <w:lang w:val="ru-RU"/>
        </w:rPr>
        <w:t xml:space="preserve">Кратак садржај – </w:t>
      </w:r>
      <w:r>
        <w:rPr>
          <w:i w:val="1"/>
          <w:iCs w:val="1"/>
          <w:rtl w:val="0"/>
        </w:rPr>
        <w:t>У овом раду испитана је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w:t>
      </w:r>
      <w:r>
        <w:rPr>
          <w:i w:val="1"/>
          <w:iCs w:val="1"/>
          <w:rtl w:val="0"/>
        </w:rPr>
        <w:t xml:space="preserve">. </w:t>
      </w:r>
      <w:r>
        <w:rPr>
          <w:i w:val="1"/>
          <w:iCs w:val="1"/>
          <w:rtl w:val="0"/>
        </w:rPr>
        <w:t>Развијен је евалуациони оквир са три лабораторијска сценарија растуће сложености</w:t>
      </w:r>
      <w:r>
        <w:rPr>
          <w:i w:val="1"/>
          <w:iCs w:val="1"/>
          <w:rtl w:val="0"/>
        </w:rPr>
        <w:t xml:space="preserve">, </w:t>
      </w:r>
      <w:r>
        <w:rPr>
          <w:i w:val="1"/>
          <w:iCs w:val="1"/>
          <w:rtl w:val="0"/>
        </w:rPr>
        <w:t>а евалуација је спроведена на моделима различитих нивоа способности</w:t>
      </w:r>
      <w:r>
        <w:rPr>
          <w:i w:val="1"/>
          <w:iCs w:val="1"/>
          <w:rtl w:val="0"/>
        </w:rPr>
        <w:t xml:space="preserve">. </w:t>
      </w:r>
      <w:r>
        <w:rPr>
          <w:i w:val="1"/>
          <w:iCs w:val="1"/>
          <w:rtl w:val="0"/>
          <w:lang w:val="ru-RU"/>
        </w:rPr>
        <w:t>Резултати показују да савремени агенти представљају практично оствариву претњу контејнерској изолацији</w:t>
      </w:r>
      <w:r>
        <w:rPr>
          <w:i w:val="1"/>
          <w:iCs w:val="1"/>
          <w:rtl w:val="0"/>
        </w:rPr>
        <w:t>.</w:t>
      </w:r>
    </w:p>
    <w:p>
      <w:pPr>
        <w:pStyle w:val="Лабеле (кључне речи"/>
        <w:rPr>
          <w:b w:val="0"/>
          <w:bCs w:val="0"/>
          <w:i w:val="1"/>
          <w:iCs w:val="1"/>
        </w:rPr>
      </w:pPr>
      <w:r>
        <w:rPr>
          <w:rtl w:val="0"/>
          <w:lang w:val="ru-RU"/>
        </w:rPr>
        <w:t>Кључне речи</w:t>
      </w:r>
      <w:r>
        <w:rPr>
          <w:rtl w:val="0"/>
        </w:rPr>
        <w:t xml:space="preserve">: </w:t>
      </w:r>
      <w:r>
        <w:rPr>
          <w:b w:val="0"/>
          <w:bCs w:val="0"/>
          <w:i w:val="1"/>
          <w:iCs w:val="1"/>
          <w:rtl w:val="0"/>
          <w:lang w:val="da-DK"/>
        </w:rPr>
        <w:t xml:space="preserve">LLM </w:t>
      </w:r>
      <w:r>
        <w:rPr>
          <w:b w:val="0"/>
          <w:bCs w:val="0"/>
          <w:i w:val="1"/>
          <w:iCs w:val="1"/>
          <w:rtl w:val="0"/>
        </w:rPr>
        <w:t>агенти</w:t>
      </w:r>
      <w:r>
        <w:rPr>
          <w:b w:val="0"/>
          <w:bCs w:val="0"/>
          <w:i w:val="1"/>
          <w:iCs w:val="1"/>
          <w:rtl w:val="0"/>
        </w:rPr>
        <w:t xml:space="preserve">, </w:t>
      </w:r>
      <w:r>
        <w:rPr>
          <w:b w:val="0"/>
          <w:bCs w:val="0"/>
          <w:i w:val="1"/>
          <w:iCs w:val="1"/>
          <w:rtl w:val="0"/>
        </w:rPr>
        <w:t>контејнерска безбедност</w:t>
      </w:r>
      <w:r>
        <w:rPr>
          <w:b w:val="0"/>
          <w:bCs w:val="0"/>
          <w:i w:val="1"/>
          <w:iCs w:val="1"/>
          <w:rtl w:val="0"/>
        </w:rPr>
        <w:t xml:space="preserve">, </w:t>
      </w:r>
      <w:r>
        <w:rPr>
          <w:b w:val="0"/>
          <w:bCs w:val="0"/>
          <w:i w:val="1"/>
          <w:iCs w:val="1"/>
          <w:rtl w:val="0"/>
        </w:rPr>
        <w:t>експлоатација рањивости</w:t>
      </w:r>
      <w:r>
        <w:rPr>
          <w:b w:val="0"/>
          <w:bCs w:val="0"/>
          <w:i w:val="1"/>
          <w:iCs w:val="1"/>
          <w:rtl w:val="0"/>
        </w:rPr>
        <w:t xml:space="preserve">, </w:t>
      </w:r>
      <w:r>
        <w:rPr>
          <w:b w:val="0"/>
          <w:bCs w:val="0"/>
          <w:i w:val="1"/>
          <w:iCs w:val="1"/>
          <w:rtl w:val="0"/>
          <w:lang w:val="ru-RU"/>
        </w:rPr>
        <w:t>аутономни агенти</w:t>
      </w:r>
      <w:r>
        <w:rPr>
          <w:b w:val="0"/>
          <w:bCs w:val="0"/>
          <w:i w:val="1"/>
          <w:iCs w:val="1"/>
          <w:rtl w:val="0"/>
          <w:lang w:val="de-DE"/>
        </w:rPr>
        <w:t>, Docker</w:t>
      </w:r>
    </w:p>
    <w:p>
      <w:pPr>
        <w:pStyle w:val="Body"/>
        <w:ind w:firstLine="0"/>
        <w:rPr>
          <w:i w:val="1"/>
          <w:iCs w:val="1"/>
        </w:rPr>
      </w:pPr>
      <w:r>
        <w:rPr>
          <w:b w:val="1"/>
          <w:bCs w:val="1"/>
          <w:rtl w:val="0"/>
          <w:lang w:val="fr-FR"/>
        </w:rPr>
        <w:t xml:space="preserve">Abstract </w:t>
      </w:r>
      <w:r>
        <w:rPr>
          <w:rtl w:val="0"/>
        </w:rPr>
        <w:t xml:space="preserve">– </w:t>
      </w:r>
      <w:r>
        <w:rPr>
          <w:i w:val="1"/>
          <w:iCs w:val="1"/>
          <w:rtl w:val="0"/>
          <w:lang w:val="en-US"/>
        </w:rPr>
        <w:t>This thesis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pPr>
        <w:pStyle w:val="Body"/>
        <w:ind w:firstLine="0"/>
        <w:rPr>
          <w:i w:val="1"/>
          <w:iCs w:val="1"/>
        </w:rPr>
      </w:pPr>
      <w:r>
        <w:rPr>
          <w:b w:val="1"/>
          <w:bCs w:val="1"/>
          <w:rtl w:val="0"/>
          <w:lang w:val="en-US"/>
        </w:rPr>
        <w:t>Keywords:</w:t>
      </w:r>
      <w:r>
        <w:rPr>
          <w:i w:val="1"/>
          <w:iCs w:val="1"/>
          <w:rtl w:val="0"/>
          <w:lang w:val="en-US"/>
        </w:rPr>
        <w:t xml:space="preserve"> LLM agents, container security, vulnerability exploitation, autonomous agents, Docker</w:t>
      </w:r>
    </w:p>
    <w:p>
      <w:pPr>
        <w:pStyle w:val="8 - Напомена"/>
      </w:pPr>
      <w:r>
        <w:rPr>
          <w:rtl w:val="0"/>
          <w:lang w:val="en-US"/>
        </w:rPr>
        <w:t>__________________________________________</w:t>
      </w:r>
    </w:p>
    <w:p>
      <w:pPr>
        <w:pStyle w:val="8 - Напомена"/>
      </w:pPr>
      <w:r>
        <w:rPr>
          <w:b w:val="1"/>
          <w:bCs w:val="1"/>
          <w:rtl w:val="0"/>
        </w:rPr>
        <w:t>НАПОМЕНА</w:t>
      </w:r>
      <w:r>
        <w:rPr>
          <w:b w:val="1"/>
          <w:bCs w:val="1"/>
          <w:rtl w:val="0"/>
        </w:rPr>
        <w:t xml:space="preserve">: </w:t>
      </w:r>
      <w:r>
        <w:rPr>
          <w:b w:val="1"/>
          <w:bCs w:val="1"/>
          <w:rtl w:val="0"/>
        </w:rPr>
        <w:t>Овај рад проистекао је из мастер рада чији ментор је био др Горан Сладић</w:t>
      </w:r>
      <w:r>
        <w:rPr>
          <w:b w:val="1"/>
          <w:bCs w:val="1"/>
          <w:rtl w:val="0"/>
        </w:rPr>
        <w:t xml:space="preserve">, </w:t>
      </w:r>
      <w:r>
        <w:rPr>
          <w:b w:val="1"/>
          <w:bCs w:val="1"/>
          <w:rtl w:val="0"/>
        </w:rPr>
        <w:t>ред</w:t>
      </w:r>
      <w:r>
        <w:rPr>
          <w:b w:val="1"/>
          <w:bCs w:val="1"/>
          <w:rtl w:val="0"/>
        </w:rPr>
        <w:t xml:space="preserve">. </w:t>
      </w:r>
      <w:r>
        <w:rPr>
          <w:b w:val="1"/>
          <w:bCs w:val="1"/>
          <w:rtl w:val="0"/>
        </w:rPr>
        <w:t>проф</w:t>
      </w:r>
      <w:r>
        <w:rPr>
          <w:b w:val="1"/>
          <w:bCs w:val="1"/>
          <w:rtl w:val="0"/>
        </w:rPr>
        <w:t>.</w:t>
      </w:r>
    </w:p>
    <w:p>
      <w:pPr>
        <w:pStyle w:val="1 - Поглавље"/>
        <w:numPr>
          <w:ilvl w:val="0"/>
          <w:numId w:val="2"/>
        </w:numPr>
      </w:pPr>
      <w:r>
        <w:rPr>
          <w:rtl w:val="0"/>
        </w:rPr>
        <w:t>УВОД</w:t>
      </w:r>
    </w:p>
    <w:p>
      <w:pPr>
        <w:pStyle w:val="0 - Текст рада"/>
      </w:pPr>
      <w:r>
        <w:rPr>
          <w:rtl w:val="0"/>
          <w:lang w:val="ru-RU"/>
        </w:rPr>
        <w:t>Контејнерске технологије постале су стандардни начин паковања и испоруке софтвера у индустрији</w:t>
      </w:r>
      <w:r>
        <w:rPr>
          <w:rtl w:val="0"/>
        </w:rPr>
        <w:t xml:space="preserve">. </w:t>
      </w:r>
      <w:r>
        <w:rPr>
          <w:rtl w:val="0"/>
        </w:rPr>
        <w:t xml:space="preserve">Платформа </w:t>
      </w:r>
      <w:r>
        <w:rPr>
          <w:rtl w:val="0"/>
          <w:lang w:val="de-DE"/>
        </w:rPr>
        <w:t xml:space="preserve">Docker, </w:t>
      </w:r>
      <w:r>
        <w:rPr>
          <w:rtl w:val="0"/>
        </w:rPr>
        <w:t xml:space="preserve">представљена </w:t>
      </w:r>
      <w:r>
        <w:rPr>
          <w:rtl w:val="0"/>
        </w:rPr>
        <w:t xml:space="preserve">2013. </w:t>
      </w:r>
      <w:r>
        <w:rPr>
          <w:rtl w:val="0"/>
        </w:rPr>
        <w:t>године</w:t>
      </w:r>
      <w:r>
        <w:rPr>
          <w:rtl w:val="0"/>
        </w:rPr>
        <w:t xml:space="preserve">, </w:t>
      </w:r>
      <w:r>
        <w:rPr>
          <w:rtl w:val="0"/>
        </w:rPr>
        <w:t xml:space="preserve">значајно је допринела овој примени стандардизацијом формата контејнерских слика и алата за рад са њима </w:t>
      </w:r>
      <w:r>
        <w:rPr>
          <w:rtl w:val="0"/>
          <w:lang w:val="pt-PT"/>
        </w:rPr>
        <w:t xml:space="preserve">[1]. </w:t>
      </w:r>
      <w:r>
        <w:rPr>
          <w:rtl w:val="0"/>
        </w:rPr>
        <w:t>Данас се контејнери широко користе у продукционим окружењима</w:t>
      </w:r>
      <w:r>
        <w:rPr>
          <w:rtl w:val="0"/>
        </w:rPr>
        <w:t xml:space="preserve">, </w:t>
      </w:r>
      <w:r>
        <w:rPr>
          <w:rtl w:val="0"/>
        </w:rPr>
        <w:t>од микросервисних архитектура до платформи у облаку</w:t>
      </w:r>
      <w:r>
        <w:rPr>
          <w:rtl w:val="0"/>
        </w:rPr>
        <w:t xml:space="preserve">, </w:t>
      </w:r>
      <w:r>
        <w:rPr>
          <w:rtl w:val="0"/>
          <w:lang w:val="ru-RU"/>
        </w:rPr>
        <w:t>где корисници деле исту физичку инфраструктуру</w:t>
      </w:r>
      <w:r>
        <w:rPr>
          <w:rtl w:val="0"/>
        </w:rPr>
        <w:t xml:space="preserve">. </w:t>
      </w:r>
      <w:r>
        <w:rPr>
          <w:rtl w:val="0"/>
        </w:rPr>
        <w:t xml:space="preserve">Изолација контејнера ослања се на механизме </w:t>
      </w:r>
      <w:r>
        <w:rPr>
          <w:rtl w:val="0"/>
          <w:lang w:val="fr-FR"/>
        </w:rPr>
        <w:t xml:space="preserve">Linux </w:t>
      </w:r>
      <w:r>
        <w:rPr>
          <w:rtl w:val="0"/>
        </w:rPr>
        <w:t>језгра</w:t>
      </w:r>
      <w:r>
        <w:rPr>
          <w:rtl w:val="0"/>
        </w:rPr>
        <w:t xml:space="preserve">, </w:t>
      </w:r>
      <w:r>
        <w:rPr>
          <w:rtl w:val="0"/>
        </w:rPr>
        <w:t xml:space="preserve">а истраживања су показала да ова изолација може бити нарушена </w:t>
      </w:r>
      <w:r>
        <w:rPr>
          <w:rtl w:val="0"/>
          <w:lang w:val="pt-PT"/>
        </w:rPr>
        <w:t xml:space="preserve">[2][3]. Reeves </w:t>
      </w:r>
      <w:r>
        <w:rPr>
          <w:rtl w:val="0"/>
          <w:lang w:val="ru-RU"/>
        </w:rPr>
        <w:t xml:space="preserve">и сарадници анализирали су </w:t>
      </w:r>
      <w:r>
        <w:rPr>
          <w:rtl w:val="0"/>
        </w:rPr>
        <w:t xml:space="preserve">59 </w:t>
      </w:r>
      <w:r>
        <w:rPr>
          <w:rtl w:val="0"/>
        </w:rPr>
        <w:t xml:space="preserve">записа у бази јавно познатих рањивости </w:t>
      </w:r>
      <w:r>
        <w:rPr>
          <w:rtl w:val="0"/>
        </w:rPr>
        <w:t xml:space="preserve">(CVE) </w:t>
      </w:r>
      <w:r>
        <w:rPr>
          <w:rtl w:val="0"/>
        </w:rPr>
        <w:t xml:space="preserve">за </w:t>
      </w:r>
      <w:r>
        <w:rPr>
          <w:rtl w:val="0"/>
        </w:rPr>
        <w:t xml:space="preserve">11 </w:t>
      </w:r>
      <w:r>
        <w:rPr>
          <w:rtl w:val="0"/>
        </w:rPr>
        <w:t>извршних окружења контејнера и идентификовали три основна извора рањивости</w:t>
      </w:r>
      <w:r>
        <w:rPr>
          <w:rtl w:val="0"/>
        </w:rPr>
        <w:t xml:space="preserve">: </w:t>
      </w:r>
      <w:r>
        <w:rPr>
          <w:rtl w:val="0"/>
          <w:lang w:val="ru-RU"/>
        </w:rPr>
        <w:t>погрешну конфигурацију контејнера</w:t>
      </w:r>
      <w:r>
        <w:rPr>
          <w:rtl w:val="0"/>
        </w:rPr>
        <w:t xml:space="preserve">, </w:t>
      </w:r>
      <w:r>
        <w:rPr>
          <w:rtl w:val="0"/>
        </w:rPr>
        <w:t xml:space="preserve">рањивости извршног окружења контејнера </w:t>
      </w:r>
      <w:r>
        <w:rPr>
          <w:rtl w:val="0"/>
        </w:rPr>
        <w:t>(</w:t>
      </w:r>
      <w:r>
        <w:rPr>
          <w:rtl w:val="0"/>
        </w:rPr>
        <w:t>енгл</w:t>
      </w:r>
      <w:r>
        <w:rPr>
          <w:rtl w:val="0"/>
          <w:lang w:val="en-US"/>
        </w:rPr>
        <w:t xml:space="preserve">. container runtime) </w:t>
      </w:r>
      <w:r>
        <w:rPr>
          <w:rtl w:val="0"/>
        </w:rPr>
        <w:t xml:space="preserve">и рањивости </w:t>
      </w:r>
      <w:r>
        <w:rPr>
          <w:rtl w:val="0"/>
          <w:lang w:val="fr-FR"/>
        </w:rPr>
        <w:t xml:space="preserve">Linux </w:t>
      </w:r>
      <w:r>
        <w:rPr>
          <w:rtl w:val="0"/>
        </w:rPr>
        <w:t xml:space="preserve">језгра </w:t>
      </w:r>
      <w:r>
        <w:rPr>
          <w:rtl w:val="0"/>
          <w:lang w:val="pt-PT"/>
        </w:rPr>
        <w:t>[3].</w:t>
      </w:r>
    </w:p>
    <w:p>
      <w:pPr>
        <w:pStyle w:val="0 - Текст рада"/>
      </w:pPr>
    </w:p>
    <w:p>
      <w:pPr>
        <w:pStyle w:val="0 - Текст рада"/>
      </w:pPr>
      <w:r>
        <w:rPr>
          <w:rtl w:val="0"/>
          <w:lang w:val="ru-RU"/>
        </w:rPr>
        <w:t xml:space="preserve">Велики језички модели </w:t>
      </w:r>
      <w:r>
        <w:rPr>
          <w:rtl w:val="0"/>
        </w:rPr>
        <w:t>(</w:t>
      </w:r>
      <w:r>
        <w:rPr>
          <w:rtl w:val="0"/>
        </w:rPr>
        <w:t>енгл</w:t>
      </w:r>
      <w:r>
        <w:rPr>
          <w:rtl w:val="0"/>
          <w:lang w:val="en-US"/>
        </w:rPr>
        <w:t xml:space="preserve">. Large Language Models, LLM) </w:t>
      </w:r>
      <w:r>
        <w:rPr>
          <w:rtl w:val="0"/>
          <w:lang w:val="ru-RU"/>
        </w:rPr>
        <w:t>достигли су ниво који омогућава њихову употребу у аутономним агентима</w:t>
      </w:r>
      <w:r>
        <w:rPr>
          <w:rtl w:val="0"/>
        </w:rPr>
        <w:t xml:space="preserve">. </w:t>
      </w:r>
      <w:r>
        <w:rPr>
          <w:rtl w:val="0"/>
          <w:lang w:val="ru-RU"/>
        </w:rPr>
        <w:t>Ови агенти могу да расуђују</w:t>
      </w:r>
      <w:r>
        <w:rPr>
          <w:rtl w:val="0"/>
        </w:rPr>
        <w:t xml:space="preserve">, </w:t>
      </w:r>
      <w:r>
        <w:rPr>
          <w:rtl w:val="0"/>
          <w:lang w:val="ru-RU"/>
        </w:rPr>
        <w:t xml:space="preserve">планирају и извршавају акције путем алата </w:t>
      </w:r>
      <w:r>
        <w:rPr>
          <w:rtl w:val="0"/>
          <w:lang w:val="pt-PT"/>
        </w:rPr>
        <w:t xml:space="preserve">[4][5]. </w:t>
      </w:r>
      <w:r>
        <w:rPr>
          <w:rtl w:val="0"/>
        </w:rPr>
        <w:t xml:space="preserve">Недавна истраживања показала су да </w:t>
      </w:r>
      <w:r>
        <w:rPr>
          <w:rtl w:val="0"/>
          <w:lang w:val="da-DK"/>
        </w:rPr>
        <w:t xml:space="preserve">LLM </w:t>
      </w:r>
      <w:r>
        <w:rPr>
          <w:rtl w:val="0"/>
          <w:lang w:val="ru-RU"/>
        </w:rPr>
        <w:t>агенти могу аутономно да идентификују и експлоатишу рањивости веб</w:t>
      </w:r>
      <w:r>
        <w:rPr>
          <w:rtl w:val="0"/>
        </w:rPr>
        <w:t>-</w:t>
      </w:r>
      <w:r>
        <w:rPr>
          <w:rtl w:val="0"/>
        </w:rPr>
        <w:t xml:space="preserve">апликација </w:t>
      </w:r>
      <w:r>
        <w:rPr>
          <w:rtl w:val="0"/>
          <w:lang w:val="pt-PT"/>
        </w:rPr>
        <w:t xml:space="preserve">[6], </w:t>
      </w:r>
      <w:r>
        <w:rPr>
          <w:rtl w:val="0"/>
        </w:rPr>
        <w:t xml:space="preserve">а тимови агената могу да експлоатишу претходно непознате рањивости нултог дана </w:t>
      </w:r>
      <w:r>
        <w:rPr>
          <w:rtl w:val="0"/>
        </w:rPr>
        <w:t>(</w:t>
      </w:r>
      <w:r>
        <w:rPr>
          <w:rtl w:val="0"/>
        </w:rPr>
        <w:t>енгл</w:t>
      </w:r>
      <w:r>
        <w:rPr>
          <w:rtl w:val="0"/>
          <w:lang w:val="en-US"/>
        </w:rPr>
        <w:t xml:space="preserve">. zero-day vulnerabilities) </w:t>
      </w:r>
      <w:r>
        <w:rPr>
          <w:rtl w:val="0"/>
          <w:lang w:val="ru-RU"/>
        </w:rPr>
        <w:t>у веб</w:t>
      </w:r>
      <w:r>
        <w:rPr>
          <w:rtl w:val="0"/>
        </w:rPr>
        <w:t>-</w:t>
      </w:r>
      <w:r>
        <w:rPr>
          <w:rtl w:val="0"/>
        </w:rPr>
        <w:t xml:space="preserve">апликацијама </w:t>
      </w:r>
      <w:r>
        <w:rPr>
          <w:rtl w:val="0"/>
          <w:lang w:val="pt-PT"/>
        </w:rPr>
        <w:t xml:space="preserve">[7]. </w:t>
      </w:r>
      <w:r>
        <w:rPr>
          <w:rtl w:val="0"/>
        </w:rPr>
        <w:t>За разлику од експлоатације веб апликација</w:t>
      </w:r>
      <w:r>
        <w:rPr>
          <w:rtl w:val="0"/>
        </w:rPr>
        <w:t xml:space="preserve">, </w:t>
      </w:r>
      <w:r>
        <w:rPr>
          <w:rtl w:val="0"/>
        </w:rPr>
        <w:t>која се одвија на апликативном нивоу</w:t>
      </w:r>
      <w:r>
        <w:rPr>
          <w:rtl w:val="0"/>
        </w:rPr>
        <w:t xml:space="preserve">, </w:t>
      </w:r>
      <w:r>
        <w:rPr>
          <w:rtl w:val="0"/>
        </w:rPr>
        <w:t>нарушавање контејнерске изолације захтева дубље знање о механизмима оперативног система</w:t>
      </w:r>
      <w:r>
        <w:rPr>
          <w:rtl w:val="0"/>
        </w:rPr>
        <w:t xml:space="preserve">. </w:t>
      </w:r>
      <w:r>
        <w:rPr>
          <w:rtl w:val="0"/>
          <w:lang w:val="ru-RU"/>
        </w:rPr>
        <w:t>Истовремено</w:t>
      </w:r>
      <w:r>
        <w:rPr>
          <w:rtl w:val="0"/>
          <w:lang w:val="da-DK"/>
        </w:rPr>
        <w:t xml:space="preserve">, LLM </w:t>
      </w:r>
      <w:r>
        <w:rPr>
          <w:rtl w:val="0"/>
          <w:lang w:val="ru-RU"/>
        </w:rPr>
        <w:t>агенти се све чешће извршавају у контејнеризованим окружењима</w:t>
      </w:r>
      <w:r>
        <w:rPr>
          <w:rtl w:val="0"/>
        </w:rPr>
        <w:t xml:space="preserve">, </w:t>
      </w:r>
      <w:r>
        <w:rPr>
          <w:rtl w:val="0"/>
        </w:rPr>
        <w:t>па питање да ли агент може аутономно да наруши ту изолацију постаје директно релевантно и за безбедност самих система вештачке интелигенције</w:t>
      </w:r>
      <w:r>
        <w:rPr>
          <w:rtl w:val="0"/>
        </w:rPr>
        <w:t>.</w:t>
      </w:r>
    </w:p>
    <w:p>
      <w:pPr>
        <w:pStyle w:val="0 - Текст рада"/>
      </w:pPr>
    </w:p>
    <w:p>
      <w:pPr>
        <w:pStyle w:val="0 - Текст рада"/>
      </w:pPr>
      <w:r>
        <w:rPr>
          <w:rtl w:val="0"/>
        </w:rPr>
        <w:t>У овом раду развијен је евалуациони оквир са три лабораторијска сценарија растуће сложености</w:t>
      </w:r>
      <w:r>
        <w:rPr>
          <w:rtl w:val="0"/>
        </w:rPr>
        <w:t xml:space="preserve">, </w:t>
      </w:r>
      <w:r>
        <w:rPr>
          <w:rtl w:val="0"/>
          <w:lang w:val="ru-RU"/>
        </w:rPr>
        <w:t xml:space="preserve">по један за сваку категорију из таксономије </w:t>
      </w:r>
      <w:r>
        <w:rPr>
          <w:rtl w:val="0"/>
          <w:lang w:val="nl-NL"/>
        </w:rPr>
        <w:t>Reeves-</w:t>
      </w:r>
      <w:r>
        <w:rPr>
          <w:rtl w:val="0"/>
        </w:rPr>
        <w:t>а и сарадника</w:t>
      </w:r>
      <w:r>
        <w:rPr>
          <w:rtl w:val="0"/>
        </w:rPr>
        <w:t xml:space="preserve">. </w:t>
      </w:r>
      <w:r>
        <w:rPr>
          <w:rtl w:val="0"/>
          <w:lang w:val="ru-RU"/>
        </w:rPr>
        <w:t xml:space="preserve">Рад испитује способности савремених </w:t>
      </w:r>
      <w:r>
        <w:rPr>
          <w:rtl w:val="0"/>
          <w:lang w:val="da-DK"/>
        </w:rPr>
        <w:t xml:space="preserve">LLM </w:t>
      </w:r>
      <w:r>
        <w:rPr>
          <w:rtl w:val="0"/>
        </w:rPr>
        <w:t>агената на овим сценаријима и анализира услове под којима агенти представљају стварну претњу контејнерској безбедности</w:t>
      </w:r>
      <w:r>
        <w:rPr>
          <w:rtl w:val="0"/>
        </w:rPr>
        <w:t>.</w:t>
      </w:r>
    </w:p>
    <w:p>
      <w:pPr>
        <w:pStyle w:val="1 - Поглавље"/>
        <w:numPr>
          <w:ilvl w:val="0"/>
          <w:numId w:val="2"/>
        </w:numPr>
      </w:pPr>
      <w:r>
        <w:rPr>
          <w:rtl w:val="0"/>
        </w:rPr>
        <w:t xml:space="preserve"> ФОРМАТИРАЊЕ И ПИСАЊЕ ТЕКСТА</w:t>
      </w:r>
    </w:p>
    <w:p>
      <w:pPr>
        <w:pStyle w:val="0 - Текст рада"/>
      </w:pPr>
      <w:r>
        <w:rPr>
          <w:rtl w:val="0"/>
        </w:rPr>
        <w:t>За форматирање овог рада можете користити предефинисане стилова предложка</w:t>
      </w:r>
      <w:r>
        <w:rPr>
          <w:rtl w:val="0"/>
        </w:rPr>
        <w:t xml:space="preserve">. </w:t>
      </w:r>
      <w:r>
        <w:rPr>
          <w:rtl w:val="0"/>
        </w:rPr>
        <w:t>Коришћење стилова не гарантује потпуно усклађен рад са предложком Зборника</w:t>
      </w:r>
      <w:r>
        <w:rPr>
          <w:rtl w:val="0"/>
        </w:rPr>
        <w:t xml:space="preserve">, </w:t>
      </w:r>
      <w:r>
        <w:rPr>
          <w:rtl w:val="0"/>
          <w:lang w:val="ru-RU"/>
        </w:rPr>
        <w:t>те је потребно детаљно прочитати ово упутство и упоредити рад са овим предложком</w:t>
      </w:r>
      <w:r>
        <w:rPr>
          <w:rtl w:val="0"/>
        </w:rPr>
        <w:t>.</w:t>
      </w:r>
    </w:p>
    <w:p>
      <w:pPr>
        <w:pStyle w:val="0 - Текст рада"/>
      </w:pPr>
      <w:r>
        <w:rPr>
          <w:rtl w:val="0"/>
        </w:rPr>
        <w:t>На страницама рада</w:t>
      </w:r>
      <w:r>
        <w:rPr>
          <w:rtl w:val="0"/>
        </w:rPr>
        <w:t xml:space="preserve">, </w:t>
      </w:r>
      <w:r>
        <w:rPr>
          <w:rtl w:val="0"/>
        </w:rPr>
        <w:t xml:space="preserve">све четири  маргине треба да буду по </w:t>
      </w:r>
      <w:r>
        <w:rPr>
          <w:rtl w:val="0"/>
        </w:rPr>
        <w:t xml:space="preserve">2 </w:t>
      </w:r>
      <w:r>
        <w:rPr>
          <w:rtl w:val="0"/>
        </w:rPr>
        <w:t>цм</w:t>
      </w:r>
      <w:r>
        <w:rPr>
          <w:rtl w:val="0"/>
        </w:rPr>
        <w:t xml:space="preserve">. </w:t>
      </w:r>
      <w:r>
        <w:rPr>
          <w:rtl w:val="0"/>
          <w:lang w:val="ru-RU"/>
        </w:rPr>
        <w:t xml:space="preserve">Не врши се означавање </w:t>
      </w:r>
      <w:r>
        <w:rPr>
          <w:rtl w:val="0"/>
        </w:rPr>
        <w:t>(</w:t>
      </w:r>
      <w:r>
        <w:rPr>
          <w:rtl w:val="0"/>
        </w:rPr>
        <w:t>нумерација</w:t>
      </w:r>
      <w:r>
        <w:rPr>
          <w:rtl w:val="0"/>
        </w:rPr>
        <w:t xml:space="preserve">) </w:t>
      </w:r>
      <w:r>
        <w:rPr>
          <w:rtl w:val="0"/>
        </w:rPr>
        <w:t>страна</w:t>
      </w:r>
      <w:r>
        <w:rPr>
          <w:rtl w:val="0"/>
        </w:rPr>
        <w:t xml:space="preserve">. </w:t>
      </w:r>
    </w:p>
    <w:p>
      <w:pPr>
        <w:pStyle w:val="2 - Подпоглавље"/>
        <w:numPr>
          <w:ilvl w:val="1"/>
          <w:numId w:val="2"/>
        </w:numPr>
      </w:pPr>
      <w:r>
        <w:rPr>
          <w:rtl w:val="0"/>
        </w:rPr>
        <w:t>Форматирање текста</w:t>
      </w:r>
    </w:p>
    <w:p>
      <w:pPr>
        <w:pStyle w:val="0 - Текст рада"/>
        <w:spacing w:before="120"/>
      </w:pPr>
      <w:r>
        <w:rPr>
          <w:rtl w:val="0"/>
        </w:rPr>
        <w:t xml:space="preserve">Рад треба да буде написан у два ступца </w:t>
      </w:r>
      <w:r>
        <w:rPr>
          <w:rtl w:val="0"/>
        </w:rPr>
        <w:t>(</w:t>
      </w:r>
      <w:r>
        <w:rPr>
          <w:rtl w:val="0"/>
        </w:rPr>
        <w:t>колоне</w:t>
      </w:r>
      <w:r>
        <w:rPr>
          <w:rtl w:val="0"/>
        </w:rPr>
        <w:t xml:space="preserve">) </w:t>
      </w:r>
      <w:r>
        <w:rPr>
          <w:rtl w:val="0"/>
          <w:lang w:val="ru-RU"/>
        </w:rPr>
        <w:t>једнаке ширине</w:t>
      </w:r>
      <w:r>
        <w:rPr>
          <w:rtl w:val="0"/>
        </w:rPr>
        <w:t xml:space="preserve">, </w:t>
      </w:r>
      <w:r>
        <w:rPr>
          <w:rtl w:val="0"/>
        </w:rPr>
        <w:t>поравнате с горње стране</w:t>
      </w:r>
      <w:r>
        <w:rPr>
          <w:rtl w:val="0"/>
        </w:rPr>
        <w:t xml:space="preserve">, </w:t>
      </w:r>
      <w:r>
        <w:rPr>
          <w:rtl w:val="0"/>
        </w:rPr>
        <w:t xml:space="preserve">са размаком од </w:t>
      </w:r>
      <w:r>
        <w:rPr>
          <w:rtl w:val="0"/>
          <w:lang w:val="ru-RU"/>
        </w:rPr>
        <w:t>0,5</w:t>
      </w:r>
      <w:r>
        <w:rPr>
          <w:rtl w:val="0"/>
        </w:rPr>
        <w:t> цм и бар приближно једнаке дужине са доње стране</w:t>
      </w:r>
      <w:r>
        <w:rPr>
          <w:rtl w:val="0"/>
        </w:rPr>
        <w:t xml:space="preserve">. </w:t>
      </w:r>
      <w:r>
        <w:rPr>
          <w:rtl w:val="0"/>
        </w:rPr>
        <w:t xml:space="preserve">Размак за наслове треба да буде </w:t>
      </w:r>
      <w:r>
        <w:rPr>
          <w:rtl w:val="0"/>
        </w:rPr>
        <w:t>12</w:t>
      </w:r>
      <w:r>
        <w:rPr>
          <w:rtl w:val="0"/>
        </w:rPr>
        <w:t> </w:t>
      </w:r>
      <w:r>
        <w:rPr>
          <w:i w:val="1"/>
          <w:iCs w:val="1"/>
          <w:rtl w:val="0"/>
          <w:lang w:val="en-US"/>
        </w:rPr>
        <w:t>pt before</w:t>
      </w:r>
      <w:r>
        <w:rPr>
          <w:rtl w:val="0"/>
          <w:lang w:val="ru-RU"/>
        </w:rPr>
        <w:t xml:space="preserve"> и</w:t>
      </w:r>
      <w:r>
        <w:rPr>
          <w:i w:val="1"/>
          <w:iCs w:val="1"/>
          <w:rtl w:val="0"/>
          <w:lang w:val="en-US"/>
        </w:rPr>
        <w:t xml:space="preserve"> after</w:t>
      </w:r>
      <w:r>
        <w:rPr>
          <w:rtl w:val="0"/>
        </w:rPr>
        <w:t xml:space="preserve">, </w:t>
      </w:r>
      <w:r>
        <w:rPr>
          <w:rtl w:val="0"/>
        </w:rPr>
        <w:t xml:space="preserve">а за поднаслове </w:t>
      </w:r>
      <w:r>
        <w:rPr>
          <w:rtl w:val="0"/>
        </w:rPr>
        <w:t>6</w:t>
      </w:r>
      <w:r>
        <w:rPr>
          <w:rtl w:val="0"/>
        </w:rPr>
        <w:t> </w:t>
      </w:r>
      <w:r>
        <w:rPr>
          <w:i w:val="1"/>
          <w:iCs w:val="1"/>
          <w:rtl w:val="0"/>
          <w:lang w:val="en-US"/>
        </w:rPr>
        <w:t xml:space="preserve">pt before </w:t>
      </w:r>
      <w:r>
        <w:rPr>
          <w:rtl w:val="0"/>
        </w:rPr>
        <w:t>и</w:t>
      </w:r>
      <w:r>
        <w:rPr>
          <w:i w:val="1"/>
          <w:iCs w:val="1"/>
          <w:rtl w:val="0"/>
          <w:lang w:val="en-US"/>
        </w:rPr>
        <w:t xml:space="preserve"> after</w:t>
      </w:r>
      <w:r>
        <w:rPr>
          <w:rtl w:val="0"/>
        </w:rPr>
        <w:t xml:space="preserve">. </w:t>
      </w:r>
    </w:p>
    <w:p>
      <w:pPr>
        <w:pStyle w:val="2 - Подпоглавље"/>
        <w:numPr>
          <w:ilvl w:val="1"/>
          <w:numId w:val="2"/>
        </w:numPr>
      </w:pPr>
      <w:r>
        <w:rPr>
          <w:rtl w:val="0"/>
        </w:rPr>
        <w:t>Писање текста</w:t>
      </w:r>
    </w:p>
    <w:p>
      <w:pPr>
        <w:pStyle w:val="0 - Текст рада"/>
      </w:pPr>
      <w:r>
        <w:rPr>
          <w:rtl w:val="0"/>
          <w:lang w:val="ru-RU"/>
        </w:rPr>
        <w:t xml:space="preserve">На почетку </w:t>
      </w:r>
      <w:r>
        <w:rPr>
          <w:rtl w:val="0"/>
        </w:rPr>
        <w:t>(</w:t>
      </w:r>
      <w:r>
        <w:rPr>
          <w:rtl w:val="0"/>
        </w:rPr>
        <w:t>само</w:t>
      </w:r>
      <w:r>
        <w:rPr>
          <w:rtl w:val="0"/>
        </w:rPr>
        <w:t xml:space="preserve">) </w:t>
      </w:r>
      <w:r>
        <w:rPr>
          <w:rtl w:val="0"/>
        </w:rPr>
        <w:t>прве стране налази се Заглавље Зборника</w:t>
      </w:r>
      <w:r>
        <w:rPr>
          <w:rtl w:val="0"/>
        </w:rPr>
        <w:t xml:space="preserve">. </w:t>
      </w:r>
      <w:r>
        <w:rPr>
          <w:rtl w:val="0"/>
        </w:rPr>
        <w:t>После заглавља треба оставити два празна реда за накнадно уписивање УДК броја и ДОИ идентификатора</w:t>
      </w:r>
      <w:r>
        <w:rPr>
          <w:rtl w:val="0"/>
        </w:rPr>
        <w:t xml:space="preserve">. </w:t>
      </w:r>
      <w:r>
        <w:rPr>
          <w:rtl w:val="0"/>
        </w:rPr>
        <w:t>Ове податке уноси Уређивачки одбор Зборника у коначну верзију рада</w:t>
      </w:r>
      <w:r>
        <w:rPr>
          <w:rtl w:val="0"/>
        </w:rPr>
        <w:t>.</w:t>
      </w:r>
    </w:p>
    <w:p>
      <w:pPr>
        <w:pStyle w:val="0 - Текст рада"/>
      </w:pPr>
      <w:r>
        <w:rPr>
          <w:rtl w:val="0"/>
        </w:rPr>
        <w:t xml:space="preserve">На средини прве странице рукописа написати пуномасним словима </w:t>
      </w:r>
      <w:r>
        <w:rPr>
          <w:rtl w:val="0"/>
        </w:rPr>
        <w:t>(</w:t>
      </w:r>
      <w:r>
        <w:rPr>
          <w:i w:val="1"/>
          <w:iCs w:val="1"/>
          <w:rtl w:val="0"/>
          <w:lang w:val="da-DK"/>
        </w:rPr>
        <w:t>bold</w:t>
      </w:r>
      <w:r>
        <w:rPr>
          <w:rtl w:val="0"/>
        </w:rPr>
        <w:t xml:space="preserve">) </w:t>
      </w:r>
      <w:r>
        <w:rPr>
          <w:rtl w:val="0"/>
          <w:lang w:val="ru-RU"/>
        </w:rPr>
        <w:t xml:space="preserve">величине </w:t>
      </w:r>
      <w:r>
        <w:rPr>
          <w:rtl w:val="0"/>
        </w:rPr>
        <w:t xml:space="preserve">12 </w:t>
      </w:r>
      <w:r>
        <w:rPr>
          <w:rtl w:val="0"/>
        </w:rPr>
        <w:t xml:space="preserve">наслов рада на српском језику </w:t>
      </w:r>
      <w:r>
        <w:rPr>
          <w:rtl w:val="0"/>
        </w:rPr>
        <w:t>(</w:t>
      </w:r>
      <w:r>
        <w:rPr>
          <w:rtl w:val="0"/>
        </w:rPr>
        <w:t>до два реда</w:t>
      </w:r>
      <w:r>
        <w:rPr>
          <w:rtl w:val="0"/>
        </w:rPr>
        <w:t xml:space="preserve">), </w:t>
      </w:r>
      <w:r>
        <w:rPr>
          <w:rtl w:val="0"/>
        </w:rPr>
        <w:t>а затим и наслов рада на енглеском језику</w:t>
      </w:r>
      <w:r>
        <w:rPr>
          <w:rtl w:val="0"/>
        </w:rPr>
        <w:t xml:space="preserve">. </w:t>
      </w:r>
      <w:r>
        <w:rPr>
          <w:rtl w:val="0"/>
        </w:rPr>
        <w:t>Испод наслова треба унети имена аутора и евентуалних коаутора</w:t>
      </w:r>
      <w:r>
        <w:rPr>
          <w:rtl w:val="0"/>
        </w:rPr>
        <w:t xml:space="preserve">, </w:t>
      </w:r>
      <w:r>
        <w:rPr>
          <w:rtl w:val="0"/>
          <w:lang w:val="ru-RU"/>
        </w:rPr>
        <w:t>као и назив</w:t>
      </w:r>
      <w:r>
        <w:rPr>
          <w:rtl w:val="0"/>
        </w:rPr>
        <w:t>(</w:t>
      </w:r>
      <w:r>
        <w:rPr>
          <w:rtl w:val="0"/>
        </w:rPr>
        <w:t>е</w:t>
      </w:r>
      <w:r>
        <w:rPr>
          <w:rtl w:val="0"/>
        </w:rPr>
        <w:t xml:space="preserve">) </w:t>
      </w:r>
      <w:r>
        <w:rPr>
          <w:rtl w:val="0"/>
          <w:lang w:val="ru-RU"/>
        </w:rPr>
        <w:t>њихових институција</w:t>
      </w:r>
      <w:r>
        <w:rPr>
          <w:rtl w:val="0"/>
        </w:rPr>
        <w:t xml:space="preserve">. </w:t>
      </w:r>
    </w:p>
    <w:p>
      <w:pPr>
        <w:pStyle w:val="0 - Текст рада"/>
      </w:pPr>
      <w:r>
        <w:rPr>
          <w:rtl w:val="0"/>
        </w:rPr>
        <w:t>Ментор сам одлучује да ли ће он бити и коаутор рада</w:t>
      </w:r>
      <w:r>
        <w:rPr>
          <w:rtl w:val="0"/>
        </w:rPr>
        <w:t xml:space="preserve">. </w:t>
      </w:r>
      <w:r>
        <w:rPr>
          <w:rtl w:val="0"/>
        </w:rPr>
        <w:t>Ако ментор није коаутор</w:t>
      </w:r>
      <w:r>
        <w:rPr>
          <w:rtl w:val="0"/>
        </w:rPr>
        <w:t xml:space="preserve">, </w:t>
      </w:r>
      <w:r>
        <w:rPr>
          <w:rtl w:val="0"/>
          <w:lang w:val="ru-RU"/>
        </w:rPr>
        <w:t>његово име се не спомиње на овом месту и његова биографија се не наводи на крају рада</w:t>
      </w:r>
      <w:r>
        <w:rPr>
          <w:rtl w:val="0"/>
        </w:rPr>
        <w:t xml:space="preserve">. </w:t>
      </w:r>
      <w:r>
        <w:rPr>
          <w:rtl w:val="0"/>
        </w:rPr>
        <w:t>Без обзира је ли ментор и коаутор рада</w:t>
      </w:r>
      <w:r>
        <w:rPr>
          <w:rtl w:val="0"/>
        </w:rPr>
        <w:t xml:space="preserve">, </w:t>
      </w:r>
      <w:r>
        <w:rPr>
          <w:rtl w:val="0"/>
          <w:lang w:val="ru-RU"/>
        </w:rPr>
        <w:t>напомена о менторству је обавезна</w:t>
      </w:r>
      <w:r>
        <w:rPr>
          <w:rtl w:val="0"/>
        </w:rPr>
        <w:t>.</w:t>
      </w:r>
    </w:p>
    <w:p>
      <w:pPr>
        <w:pStyle w:val="0 - Текст рада"/>
      </w:pPr>
    </w:p>
    <w:p>
      <w:pPr>
        <w:pStyle w:val="2 - Подпоглавље"/>
        <w:numPr>
          <w:ilvl w:val="1"/>
          <w:numId w:val="2"/>
        </w:numPr>
      </w:pPr>
      <w:r>
        <w:rPr>
          <w:rtl w:val="0"/>
        </w:rPr>
        <w:t>Писање израза</w:t>
      </w:r>
      <w:r>
        <w:rPr>
          <w:rtl w:val="0"/>
        </w:rPr>
        <w:t xml:space="preserve">, </w:t>
      </w:r>
      <w:r>
        <w:rPr>
          <w:rtl w:val="0"/>
        </w:rPr>
        <w:t>табела и подешавање слика</w:t>
      </w:r>
    </w:p>
    <w:p>
      <w:pPr>
        <w:pStyle w:val="0 - Текст рада"/>
      </w:pPr>
      <w:r>
        <w:rPr>
          <w:rtl w:val="0"/>
          <w:lang w:val="ru-RU"/>
        </w:rPr>
        <w:t>Математичке и друге операторе и величине које не узимају бројне вредности писати обичним словима</w:t>
      </w:r>
      <w:r>
        <w:rPr>
          <w:rtl w:val="0"/>
        </w:rPr>
        <w:t xml:space="preserve">, </w:t>
      </w:r>
      <w:r>
        <w:rPr>
          <w:rtl w:val="0"/>
          <w:lang w:val="ru-RU"/>
        </w:rPr>
        <w:t xml:space="preserve">а величине које могу узимати бројне вредности – косим словима </w:t>
      </w:r>
      <w:r>
        <w:rPr>
          <w:rtl w:val="0"/>
        </w:rPr>
        <w:t>(</w:t>
      </w:r>
      <w:r>
        <w:rPr>
          <w:i w:val="1"/>
          <w:iCs w:val="1"/>
          <w:rtl w:val="0"/>
          <w:lang w:val="it-IT"/>
        </w:rPr>
        <w:t>italic</w:t>
      </w:r>
      <w:r>
        <w:rPr>
          <w:rtl w:val="0"/>
        </w:rPr>
        <w:t xml:space="preserve">). </w:t>
      </w:r>
    </w:p>
    <w:p>
      <w:pPr>
        <w:pStyle w:val="0 - Текст рада"/>
      </w:pPr>
      <w:r>
        <w:rPr>
          <w:rtl w:val="0"/>
        </w:rPr>
        <w:t>Дозвољена је употреба различитих едитора једначина</w:t>
      </w:r>
      <w:r>
        <w:rPr>
          <w:rtl w:val="0"/>
        </w:rPr>
        <w:t xml:space="preserve">, </w:t>
      </w:r>
      <w:r>
        <w:rPr>
          <w:rtl w:val="0"/>
          <w:lang w:val="ru-RU"/>
        </w:rPr>
        <w:t>али се препоручују новији едитори</w:t>
      </w:r>
      <w:r>
        <w:rPr>
          <w:rtl w:val="0"/>
        </w:rPr>
        <w:t xml:space="preserve">, </w:t>
      </w:r>
      <w:r>
        <w:rPr>
          <w:rtl w:val="0"/>
        </w:rPr>
        <w:t>због квалитета коначне</w:t>
      </w:r>
      <w:r>
        <w:rPr>
          <w:rtl w:val="0"/>
        </w:rPr>
        <w:t xml:space="preserve">, </w:t>
      </w:r>
      <w:r>
        <w:rPr>
          <w:rtl w:val="0"/>
        </w:rPr>
        <w:t>штампане верзије текста</w:t>
      </w:r>
      <w:r>
        <w:rPr>
          <w:rtl w:val="0"/>
        </w:rPr>
        <w:t xml:space="preserve">. </w:t>
      </w:r>
      <w:r>
        <w:rPr>
          <w:rtl w:val="0"/>
        </w:rPr>
        <w:t>На пример</w:t>
      </w:r>
      <w:r>
        <w:rPr>
          <w:rtl w:val="0"/>
          <w:lang w:val="es-ES_tradnl"/>
        </w:rPr>
        <w:t>, sin</w:t>
      </w:r>
      <w:r>
        <w:rPr>
          <w:i w:val="1"/>
          <w:iCs w:val="1"/>
          <w:rtl w:val="0"/>
        </w:rPr>
        <w:t>x</w:t>
      </w:r>
      <w:r>
        <w:rPr>
          <w:rtl w:val="0"/>
        </w:rPr>
        <w:t>, ln</w:t>
      </w:r>
      <w:r>
        <w:rPr>
          <w:i w:val="1"/>
          <w:iCs w:val="1"/>
          <w:rtl w:val="0"/>
        </w:rPr>
        <w:t>x</w:t>
      </w:r>
      <w:r>
        <w:rPr>
          <w:rtl w:val="0"/>
        </w:rPr>
        <w:t>(</w:t>
      </w:r>
      <w:r>
        <w:rPr>
          <w:i w:val="1"/>
          <w:iCs w:val="1"/>
          <w:rtl w:val="0"/>
        </w:rPr>
        <w:t>т</w:t>
      </w:r>
      <w:r>
        <w:rPr>
          <w:rtl w:val="0"/>
        </w:rPr>
        <w:t>), df(</w:t>
      </w:r>
      <w:r>
        <w:rPr>
          <w:i w:val="1"/>
          <w:iCs w:val="1"/>
          <w:rtl w:val="0"/>
        </w:rPr>
        <w:t>т</w:t>
      </w:r>
      <w:r>
        <w:rPr>
          <w:rtl w:val="0"/>
          <w:lang w:val="en-US"/>
        </w:rPr>
        <w:t>)/d</w:t>
      </w:r>
      <w:r>
        <w:rPr>
          <w:i w:val="1"/>
          <w:iCs w:val="1"/>
          <w:rtl w:val="0"/>
        </w:rPr>
        <w:t>т</w:t>
      </w:r>
      <w:r>
        <w:rPr>
          <w:rtl w:val="0"/>
        </w:rPr>
        <w:t xml:space="preserve">, RC </w:t>
      </w:r>
      <w:r>
        <w:rPr>
          <w:rtl w:val="0"/>
          <w:lang w:val="ru-RU"/>
        </w:rPr>
        <w:t xml:space="preserve">коло отпорности </w:t>
      </w:r>
      <w:r>
        <w:rPr>
          <w:i w:val="1"/>
          <w:iCs w:val="1"/>
          <w:rtl w:val="0"/>
        </w:rPr>
        <w:t>Р</w:t>
      </w:r>
      <w:r>
        <w:rPr>
          <w:rtl w:val="0"/>
        </w:rPr>
        <w:t>=250 k</w:t>
      </w:r>
      <w:r>
        <w:rPr>
          <w:rtl w:val="0"/>
        </w:rPr>
        <w:t>Ω</w:t>
      </w:r>
      <w:r>
        <w:rPr>
          <w:rtl w:val="0"/>
        </w:rPr>
        <w:t xml:space="preserve">. </w:t>
      </w:r>
    </w:p>
    <w:p>
      <w:pPr>
        <w:pStyle w:val="0 - Текст рада"/>
      </w:pPr>
      <w:r>
        <w:rPr>
          <w:rtl w:val="0"/>
        </w:rPr>
        <w:t xml:space="preserve">Математичке формуле треба да се означе </w:t>
      </w:r>
      <w:r>
        <w:rPr>
          <w:rtl w:val="0"/>
        </w:rPr>
        <w:t>(</w:t>
      </w:r>
      <w:r>
        <w:rPr>
          <w:rtl w:val="0"/>
        </w:rPr>
        <w:t>нумеришу</w:t>
      </w:r>
      <w:r>
        <w:rPr>
          <w:rtl w:val="0"/>
        </w:rPr>
        <w:t xml:space="preserve">) </w:t>
      </w:r>
      <w:commentRangeStart w:id="0"/>
      <w:r>
        <w:rPr>
          <w:rtl w:val="0"/>
          <w:lang w:val="ru-RU"/>
        </w:rPr>
        <w:t>уз десну ивицу текста</w:t>
      </w:r>
      <w:commentRangeEnd w:id="0"/>
      <w:r>
        <w:commentReference w:id="0"/>
      </w:r>
      <w:r>
        <w:rPr>
          <w:rtl w:val="0"/>
        </w:rPr>
        <w:t xml:space="preserve">,  </w:t>
      </w:r>
      <w:r>
        <w:rPr>
          <w:rtl w:val="0"/>
          <w:lang w:val="ru-RU"/>
        </w:rPr>
        <w:t xml:space="preserve">као у примеру израза </w:t>
      </w:r>
      <w:r>
        <w:rPr>
          <w:rtl w:val="0"/>
        </w:rPr>
        <w:t>(1):</w:t>
      </w:r>
    </w:p>
    <w:tbl>
      <w:tblPr>
        <w:tblW w:w="4677"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67"/>
        <w:gridCol w:w="810"/>
      </w:tblGrid>
      <w:tr>
        <w:tblPrEx>
          <w:shd w:val="clear" w:color="auto" w:fill="ced7e7"/>
        </w:tblPrEx>
        <w:trPr>
          <w:trHeight w:val="768" w:hRule="atLeast"/>
        </w:trPr>
        <w:tc>
          <w:tcPr>
            <w:tcW w:type="dxa" w:w="3867"/>
            <w:tcBorders>
              <w:top w:val="nil"/>
              <w:left w:val="nil"/>
              <w:bottom w:val="nil"/>
              <w:right w:val="nil"/>
            </w:tcBorders>
            <w:shd w:val="clear" w:color="auto" w:fill="auto"/>
            <w:tcMar>
              <w:top w:type="dxa" w:w="80"/>
              <w:left w:type="dxa" w:w="80"/>
              <w:bottom w:type="dxa" w:w="80"/>
              <w:right w:type="dxa" w:w="80"/>
            </w:tcMar>
            <w:vAlign w:val="center"/>
          </w:tcPr>
          <w:p>
            <w:pPr>
              <w:pStyle w:val="3 - Математичке формуле"/>
              <w:jc w:val="right"/>
              <w:rPr>
                <w:color w:val="000000"/>
                <w:sz w:val="20"/>
              </w:rPr>
            </w:pPr>
            <m:oMathPara>
              <m:oMathParaPr>
                <m:jc m:val="right"/>
              </m:oMathParaPr>
              <m:oMath>
                <m:sSub>
                  <m:e>
                    <m:r>
                      <w:rPr xmlns:w="http://schemas.openxmlformats.org/wordprocessingml/2006/main">
                        <w:rFonts w:ascii="Cambria Math" w:hAnsi="Cambria Math"/>
                        <w:i/>
                        <w:color w:val="000000"/>
                        <w:sz w:val="24"/>
                        <w:szCs w:val="24"/>
                      </w:rPr>
                      <m:t>Q</m:t>
                    </m:r>
                  </m:e>
                  <m:sub>
                    <m:r>
                      <w:rPr xmlns:w="http://schemas.openxmlformats.org/wordprocessingml/2006/main">
                        <w:rFonts w:ascii="Cambria Math" w:hAnsi="Cambria Math"/>
                        <w:i/>
                        <w:color w:val="000000"/>
                        <w:sz w:val="24"/>
                        <w:szCs w:val="24"/>
                      </w:rPr>
                      <m:t>i</m:t>
                    </m:r>
                  </m:sub>
                </m:sSub>
                <m:r>
                  <w:rPr xmlns:w="http://schemas.openxmlformats.org/wordprocessingml/2006/main">
                    <w:rFonts w:ascii="Cambria Math" w:hAnsi="Cambria Math"/>
                    <w:i/>
                    <w:color w:val="000000"/>
                    <w:sz w:val="24"/>
                    <w:szCs w:val="24"/>
                  </w:rPr>
                  <m:t>=</m:t>
                </m:r>
                <m:sSub>
                  <m:e>
                    <m:r>
                      <w:rPr xmlns:w="http://schemas.openxmlformats.org/wordprocessingml/2006/main">
                        <w:rFonts w:ascii="Cambria Math" w:hAnsi="Cambria Math"/>
                        <w:i/>
                        <w:color w:val="000000"/>
                        <w:sz w:val="24"/>
                        <w:szCs w:val="24"/>
                      </w:rPr>
                      <m:t>l</m:t>
                    </m:r>
                    <m:r>
                      <w:rPr xmlns:w="http://schemas.openxmlformats.org/wordprocessingml/2006/main">
                        <w:rFonts w:ascii="Cambria Math" w:hAnsi="Cambria Math"/>
                        <w:i/>
                        <w:color w:val="000000"/>
                        <w:sz w:val="24"/>
                        <w:szCs w:val="24"/>
                      </w:rPr>
                      <m:t>o</m:t>
                    </m:r>
                    <m:r>
                      <w:rPr xmlns:w="http://schemas.openxmlformats.org/wordprocessingml/2006/main">
                        <w:rFonts w:ascii="Cambria Math" w:hAnsi="Cambria Math"/>
                        <w:i/>
                        <w:color w:val="000000"/>
                        <w:sz w:val="24"/>
                        <w:szCs w:val="24"/>
                      </w:rPr>
                      <m:t>g</m:t>
                    </m:r>
                  </m:e>
                  <m:sub>
                    <m:r>
                      <w:rPr xmlns:w="http://schemas.openxmlformats.org/wordprocessingml/2006/main">
                        <w:rFonts w:ascii="Cambria Math" w:hAnsi="Cambria Math"/>
                        <w:i/>
                        <w:color w:val="000000"/>
                        <w:sz w:val="24"/>
                        <w:szCs w:val="24"/>
                      </w:rPr>
                      <m:t>2</m:t>
                    </m:r>
                  </m:sub>
                </m:sSub>
                <m:d>
                  <m:dPr>
                    <m:ctrlPr>
                      <w:rPr xmlns:w="http://schemas.openxmlformats.org/wordprocessingml/2006/main">
                        <w:rFonts w:ascii="Cambria Math" w:hAnsi="Cambria Math"/>
                        <w:i/>
                        <w:color w:val="000000"/>
                        <w:sz w:val="24"/>
                        <w:szCs w:val="24"/>
                      </w:rPr>
                    </m:ctrlPr>
                  </m:dPr>
                  <m:e>
                    <m:f>
                      <m:fPr>
                        <m:ctrlPr>
                          <w:rPr xmlns:w="http://schemas.openxmlformats.org/wordprocessingml/2006/main">
                            <w:rFonts w:ascii="Cambria Math" w:hAnsi="Cambria Math"/>
                            <w:i/>
                            <w:color w:val="000000"/>
                            <w:sz w:val="24"/>
                            <w:szCs w:val="24"/>
                          </w:rPr>
                        </m:ctrlPr>
                        <m:type m:val="bar"/>
                      </m:fPr>
                      <m:num>
                        <m:r>
                          <w:rPr xmlns:w="http://schemas.openxmlformats.org/wordprocessingml/2006/main">
                            <w:rFonts w:ascii="Cambria Math" w:hAnsi="Cambria Math"/>
                            <w:i/>
                            <w:color w:val="000000"/>
                            <w:sz w:val="24"/>
                            <w:szCs w:val="24"/>
                          </w:rPr>
                          <m:t>1</m:t>
                        </m:r>
                      </m:num>
                      <m:den>
                        <m:sSub>
                          <m:e>
                            <m:r>
                              <w:rPr xmlns:w="http://schemas.openxmlformats.org/wordprocessingml/2006/main">
                                <w:rFonts w:ascii="Cambria Math" w:hAnsi="Cambria Math"/>
                                <w:i/>
                                <w:color w:val="000000"/>
                                <w:sz w:val="24"/>
                                <w:szCs w:val="24"/>
                              </w:rPr>
                              <m:t>p</m:t>
                            </m:r>
                          </m:e>
                          <m:sub>
                            <m:r>
                              <w:rPr xmlns:w="http://schemas.openxmlformats.org/wordprocessingml/2006/main">
                                <w:rFonts w:ascii="Cambria Math" w:hAnsi="Cambria Math"/>
                                <w:i/>
                                <w:color w:val="000000"/>
                                <w:sz w:val="24"/>
                                <w:szCs w:val="24"/>
                              </w:rPr>
                              <m:t>i</m:t>
                            </m:r>
                          </m:sub>
                        </m:sSub>
                      </m:den>
                    </m:f>
                  </m:e>
                </m:d>
                <m:r>
                  <w:rPr xmlns:w="http://schemas.openxmlformats.org/wordprocessingml/2006/main">
                    <w:rFonts w:ascii="Cambria Math" w:hAnsi="Cambria Math"/>
                    <w:i/>
                    <w:color w:val="000000"/>
                    <w:sz w:val="24"/>
                    <w:szCs w:val="24"/>
                  </w:rPr>
                  <m:t>,</m:t>
                </m:r>
                <m:r>
                  <w:rPr xmlns:w="http://schemas.openxmlformats.org/wordprocessingml/2006/main">
                    <w:rFonts w:ascii="Cambria Math" w:hAnsi="Cambria Math"/>
                    <w:i/>
                    <w:color w:val="000000"/>
                    <w:sz w:val="24"/>
                    <w:szCs w:val="24"/>
                  </w:rPr>
                  <m:t/>
                </m:r>
                <m:r>
                  <w:rPr xmlns:w="http://schemas.openxmlformats.org/wordprocessingml/2006/main">
                    <w:rFonts w:ascii="Cambria Math" w:hAnsi="Cambria Math"/>
                    <w:i/>
                    <w:color w:val="000000"/>
                    <w:sz w:val="24"/>
                    <w:szCs w:val="24"/>
                  </w:rPr>
                  <m:t/>
                </m:r>
                <m:r>
                  <w:rPr xmlns:w="http://schemas.openxmlformats.org/wordprocessingml/2006/main">
                    <w:rFonts w:ascii="Cambria Math" w:hAnsi="Cambria Math"/>
                    <w:i/>
                    <w:color w:val="000000"/>
                    <w:sz w:val="24"/>
                    <w:szCs w:val="24"/>
                  </w:rPr>
                  <m:t/>
                </m:r>
                <m:r>
                  <w:rPr xmlns:w="http://schemas.openxmlformats.org/wordprocessingml/2006/main">
                    <w:rFonts w:ascii="Cambria Math" w:hAnsi="Cambria Math"/>
                    <w:i/>
                    <w:color w:val="000000"/>
                    <w:sz w:val="24"/>
                    <w:szCs w:val="24"/>
                  </w:rPr>
                  <m:t>i</m:t>
                </m:r>
                <m:r>
                  <w:rPr xmlns:w="http://schemas.openxmlformats.org/wordprocessingml/2006/main">
                    <w:rFonts w:ascii="Cambria Math" w:hAnsi="Cambria Math"/>
                    <w:i/>
                    <w:color w:val="000000"/>
                    <w:sz w:val="24"/>
                    <w:szCs w:val="24"/>
                  </w:rPr>
                  <m:t>=</m:t>
                </m:r>
                <m:r>
                  <w:rPr xmlns:w="http://schemas.openxmlformats.org/wordprocessingml/2006/main">
                    <w:rFonts w:ascii="Cambria Math" w:hAnsi="Cambria Math"/>
                    <w:i/>
                    <w:color w:val="000000"/>
                    <w:sz w:val="24"/>
                    <w:szCs w:val="24"/>
                  </w:rPr>
                  <m:t>1</m:t>
                </m:r>
                <m:r>
                  <w:rPr xmlns:w="http://schemas.openxmlformats.org/wordprocessingml/2006/main">
                    <w:rFonts w:ascii="Cambria Math" w:hAnsi="Cambria Math"/>
                    <w:i/>
                    <w:color w:val="000000"/>
                    <w:sz w:val="24"/>
                    <w:szCs w:val="24"/>
                  </w:rPr>
                  <m:t>…</m:t>
                </m:r>
                <m:r>
                  <w:rPr xmlns:w="http://schemas.openxmlformats.org/wordprocessingml/2006/main">
                    <w:rFonts w:ascii="Cambria Math" w:hAnsi="Cambria Math"/>
                    <w:i/>
                    <w:color w:val="000000"/>
                    <w:sz w:val="24"/>
                    <w:szCs w:val="24"/>
                  </w:rPr>
                  <m:t>M</m:t>
                </m:r>
              </m:oMath>
            </m:oMathPara>
          </w:p>
        </w:tc>
        <w:tc>
          <w:tcPr>
            <w:tcW w:type="dxa" w:w="810"/>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(1)</w:t>
            </w:r>
          </w:p>
        </w:tc>
      </w:tr>
    </w:tbl>
    <w:p>
      <w:pPr>
        <w:pStyle w:val="0 - Текст рада"/>
        <w:widowControl w:val="0"/>
      </w:pPr>
    </w:p>
    <w:p>
      <w:pPr>
        <w:pStyle w:val="0 - Текст рада"/>
      </w:pPr>
      <w:r>
        <w:rPr>
          <w:rtl w:val="0"/>
        </w:rPr>
        <w:t>Ако је потребно укључивање великих слика</w:t>
      </w:r>
      <w:r>
        <w:rPr>
          <w:rtl w:val="0"/>
        </w:rPr>
        <w:t xml:space="preserve">, </w:t>
      </w:r>
      <w:r>
        <w:rPr>
          <w:rtl w:val="0"/>
        </w:rPr>
        <w:t>једначина или табела</w:t>
      </w:r>
      <w:r>
        <w:rPr>
          <w:rtl w:val="0"/>
        </w:rPr>
        <w:t xml:space="preserve">, </w:t>
      </w:r>
      <w:r>
        <w:rPr>
          <w:rtl w:val="0"/>
          <w:lang w:val="ru-RU"/>
        </w:rPr>
        <w:t>ради побољшања њихове прегледности или читљивости</w:t>
      </w:r>
      <w:r>
        <w:rPr>
          <w:rtl w:val="0"/>
        </w:rPr>
        <w:t xml:space="preserve">, </w:t>
      </w:r>
      <w:r>
        <w:rPr>
          <w:rtl w:val="0"/>
        </w:rPr>
        <w:t>може да се формира посебна секција</w:t>
      </w:r>
      <w:r>
        <w:rPr>
          <w:rtl w:val="0"/>
        </w:rPr>
        <w:t xml:space="preserve">, </w:t>
      </w:r>
      <w:r>
        <w:rPr>
          <w:rtl w:val="0"/>
        </w:rPr>
        <w:t>са једном колоном</w:t>
      </w:r>
      <w:r>
        <w:rPr>
          <w:rtl w:val="0"/>
        </w:rPr>
        <w:t xml:space="preserve">, </w:t>
      </w:r>
      <w:r>
        <w:rPr>
          <w:rtl w:val="0"/>
          <w:lang w:val="ru-RU"/>
        </w:rPr>
        <w:t>потребне висине и ширине</w:t>
      </w:r>
      <w:r>
        <w:rPr>
          <w:rtl w:val="0"/>
        </w:rPr>
        <w:t xml:space="preserve">, </w:t>
      </w:r>
      <w:r>
        <w:rPr>
          <w:rtl w:val="0"/>
        </w:rPr>
        <w:t xml:space="preserve">са бочним маргинама ширине </w:t>
      </w:r>
      <w:r>
        <w:rPr>
          <w:rtl w:val="0"/>
        </w:rPr>
        <w:t xml:space="preserve">2 </w:t>
      </w:r>
      <w:r>
        <w:rPr>
          <w:rtl w:val="0"/>
        </w:rPr>
        <w:t>цм</w:t>
      </w:r>
      <w:r>
        <w:rPr>
          <w:rtl w:val="0"/>
        </w:rPr>
        <w:t xml:space="preserve">. </w:t>
      </w:r>
      <w:r>
        <w:rPr>
          <w:rtl w:val="0"/>
        </w:rPr>
        <w:t>У ту секцију уноси се нпр</w:t>
      </w:r>
      <w:r>
        <w:rPr>
          <w:rtl w:val="0"/>
        </w:rPr>
        <w:t xml:space="preserve">. </w:t>
      </w:r>
      <w:r>
        <w:rPr>
          <w:rtl w:val="0"/>
        </w:rPr>
        <w:t>слика и њен назив</w:t>
      </w:r>
      <w:r>
        <w:rPr>
          <w:rtl w:val="0"/>
        </w:rPr>
        <w:t>.</w:t>
      </w:r>
    </w:p>
    <w:p>
      <w:pPr>
        <w:pStyle w:val="0 - Текст рада"/>
        <w:sectPr>
          <w:type w:val="continuous"/>
          <w:pgSz w:w="11900" w:h="16840" w:orient="portrait"/>
          <w:pgMar w:top="1134" w:right="1134" w:bottom="1134" w:left="1134" w:header="708" w:footer="708"/>
          <w:cols w:space="284" w:num="2" w:equalWidth="1"/>
          <w:bidi w:val="0"/>
        </w:sectPr>
      </w:pPr>
      <w:r>
        <w:rPr>
          <w:rtl w:val="0"/>
        </w:rPr>
        <w:t>Изнад табеле треба да стоји натпис</w:t>
      </w:r>
      <w:r>
        <w:rPr>
          <w:rtl w:val="0"/>
        </w:rPr>
        <w:t xml:space="preserve">, </w:t>
      </w:r>
      <w:r>
        <w:rPr>
          <w:rtl w:val="0"/>
          <w:lang w:val="ru-RU"/>
        </w:rPr>
        <w:t xml:space="preserve">као у Табели </w:t>
      </w:r>
      <w:r>
        <w:rPr>
          <w:rtl w:val="0"/>
        </w:rPr>
        <w:t xml:space="preserve">1. </w:t>
      </w:r>
      <w:r>
        <w:rPr>
          <w:rtl w:val="0"/>
        </w:rPr>
        <w:t>Испод сваке слике или дијаграма треба да стоји број и кратак назив</w:t>
      </w:r>
      <w:r>
        <w:rPr>
          <w:rtl w:val="0"/>
        </w:rPr>
        <w:t xml:space="preserve">, </w:t>
      </w:r>
      <w:r>
        <w:rPr>
          <w:rtl w:val="0"/>
        </w:rPr>
        <w:t>а свака слика и табела мора да се помену у тексту</w:t>
      </w:r>
      <w:r>
        <w:rPr>
          <w:rtl w:val="0"/>
        </w:rPr>
        <w:t xml:space="preserve">. </w:t>
      </w:r>
      <w:r>
        <w:rPr>
          <w:rtl w:val="0"/>
          <w:lang w:val="ru-RU"/>
        </w:rPr>
        <w:t>Ако нема простора за слику на истој страни или колони где је поменута</w:t>
      </w:r>
      <w:r>
        <w:rPr>
          <w:rtl w:val="0"/>
        </w:rPr>
        <w:t xml:space="preserve">, </w:t>
      </w:r>
      <w:r>
        <w:rPr>
          <w:rtl w:val="0"/>
          <w:lang w:val="ru-RU"/>
        </w:rPr>
        <w:t>треба да се стави на следећу страну или колону</w:t>
      </w:r>
      <w:r>
        <w:rPr>
          <w:rtl w:val="0"/>
        </w:rPr>
        <w:t xml:space="preserve">. </w:t>
      </w:r>
      <w:r/>
    </w:p>
    <w:p>
      <w:pPr>
        <w:pStyle w:val="caption"/>
      </w:pPr>
      <w:r>
        <w:drawing xmlns:a="http://schemas.openxmlformats.org/drawingml/2006/main">
          <wp:inline distT="0" distB="0" distL="0" distR="0">
            <wp:extent cx="3345123" cy="2290916"/>
            <wp:effectExtent l="0" t="0" r="0" b="0"/>
            <wp:docPr id="1073741826" name="officeArt object" descr="Picture 3"/>
            <wp:cNvGraphicFramePr/>
            <a:graphic xmlns:a="http://schemas.openxmlformats.org/drawingml/2006/main">
              <a:graphicData uri="http://schemas.openxmlformats.org/drawingml/2006/picture">
                <pic:pic xmlns:pic="http://schemas.openxmlformats.org/drawingml/2006/picture">
                  <pic:nvPicPr>
                    <pic:cNvPr id="1073741826" name="Picture 3" descr="Picture 3"/>
                    <pic:cNvPicPr>
                      <a:picLocks noChangeAspect="1"/>
                    </pic:cNvPicPr>
                  </pic:nvPicPr>
                  <pic:blipFill>
                    <a:blip r:embed="rId7">
                      <a:extLst/>
                    </a:blip>
                    <a:stretch>
                      <a:fillRect/>
                    </a:stretch>
                  </pic:blipFill>
                  <pic:spPr>
                    <a:xfrm>
                      <a:off x="0" y="0"/>
                      <a:ext cx="3345123" cy="2290916"/>
                    </a:xfrm>
                    <a:prstGeom prst="rect">
                      <a:avLst/>
                    </a:prstGeom>
                    <a:ln w="6350" cap="flat">
                      <a:solidFill>
                        <a:srgbClr val="000000"/>
                      </a:solidFill>
                      <a:prstDash val="solid"/>
                      <a:miter lim="800000"/>
                    </a:ln>
                    <a:effectLst/>
                  </pic:spPr>
                </pic:pic>
              </a:graphicData>
            </a:graphic>
          </wp:inline>
        </w:drawing>
      </w:r>
    </w:p>
    <w:p>
      <w:pPr>
        <w:pStyle w:val="caption"/>
      </w:pPr>
      <w:r>
        <w:rPr>
          <w:rtl w:val="0"/>
          <w:lang w:val="en-US"/>
        </w:rPr>
        <w:t xml:space="preserve">Слика </w:t>
      </w:r>
      <w:r>
        <w:rPr>
          <w:rtl w:val="0"/>
          <w:lang w:val="en-US"/>
        </w:rPr>
        <w:t xml:space="preserve">1. </w:t>
      </w:r>
      <w:r>
        <w:rPr>
          <w:rtl w:val="0"/>
          <w:lang w:val="en-US"/>
        </w:rPr>
        <w:t xml:space="preserve">Резултати симулације </w:t>
      </w:r>
      <w:r>
        <w:rPr>
          <w:rtl w:val="0"/>
          <w:lang w:val="en-US"/>
        </w:rPr>
        <w:t>[2]</w:t>
      </w:r>
    </w:p>
    <w:p>
      <w:pPr>
        <w:pStyle w:val="Body"/>
        <w:ind w:firstLine="0"/>
        <w:sectPr>
          <w:type w:val="continuous"/>
          <w:pgSz w:w="11900" w:h="16840" w:orient="portrait"/>
          <w:pgMar w:top="1134" w:right="1134" w:bottom="1134" w:left="1134" w:header="708" w:footer="708"/>
          <w:bidi w:val="0"/>
        </w:sectPr>
      </w:pPr>
      <w:r/>
    </w:p>
    <w:p>
      <w:pPr>
        <w:pStyle w:val="caption"/>
        <w:keepNext w:val="1"/>
        <w:ind w:firstLine="0"/>
        <w:jc w:val="both"/>
      </w:pPr>
      <w:r>
        <w:rPr>
          <w:rtl w:val="0"/>
          <w:lang w:val="en-US"/>
        </w:rPr>
        <w:t xml:space="preserve">Табела </w:t>
      </w:r>
      <w:r>
        <w:rPr>
          <w:rtl w:val="0"/>
          <w:lang w:val="en-US"/>
        </w:rPr>
        <w:t xml:space="preserve">1. </w:t>
      </w:r>
      <w:r>
        <w:rPr>
          <w:rtl w:val="0"/>
          <w:lang w:val="en-US"/>
        </w:rPr>
        <w:t>Врсте система за обраду сигнала</w:t>
      </w:r>
    </w:p>
    <w:tbl>
      <w:tblPr>
        <w:tblW w:w="4667"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1"/>
        <w:gridCol w:w="1880"/>
        <w:gridCol w:w="1886"/>
      </w:tblGrid>
      <w:tr>
        <w:tblPrEx>
          <w:shd w:val="clear" w:color="auto" w:fill="ced7e7"/>
        </w:tblPrEx>
        <w:trPr>
          <w:trHeight w:val="222" w:hRule="atLeast"/>
        </w:trPr>
        <w:tc>
          <w:tcPr>
            <w:tcW w:type="dxa" w:w="9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tc>
        <w:tc>
          <w:tcPr>
            <w:tcW w:type="dxa" w:w="1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Линеарни</w:t>
            </w:r>
          </w:p>
        </w:tc>
        <w:tc>
          <w:tcPr>
            <w:tcW w:type="dxa" w:w="18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Нелинеарни</w:t>
            </w:r>
          </w:p>
        </w:tc>
      </w:tr>
      <w:tr>
        <w:tblPrEx>
          <w:shd w:val="clear" w:color="auto" w:fill="ced7e7"/>
        </w:tblPrEx>
        <w:trPr>
          <w:trHeight w:val="974" w:hRule="atLeast"/>
        </w:trPr>
        <w:tc>
          <w:tcPr>
            <w:tcW w:type="dxa" w:w="9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Без меморије</w:t>
            </w:r>
          </w:p>
        </w:tc>
        <w:tc>
          <w:tcPr>
            <w:tcW w:type="dxa" w:w="1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Појачавачи</w:t>
            </w:r>
          </w:p>
        </w:tc>
        <w:tc>
          <w:tcPr>
            <w:tcW w:type="dxa" w:w="18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Нелинарни системи</w:t>
            </w:r>
          </w:p>
        </w:tc>
      </w:tr>
      <w:tr>
        <w:tblPrEx>
          <w:shd w:val="clear" w:color="auto" w:fill="ced7e7"/>
        </w:tblPrEx>
        <w:trPr>
          <w:trHeight w:val="1334" w:hRule="atLeast"/>
        </w:trPr>
        <w:tc>
          <w:tcPr>
            <w:tcW w:type="dxa" w:w="9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Са меморијом</w:t>
            </w:r>
          </w:p>
        </w:tc>
        <w:tc>
          <w:tcPr>
            <w:tcW w:type="dxa" w:w="1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 xml:space="preserve">Филтри </w:t>
            </w:r>
            <w:r>
              <w:rPr>
                <w:shd w:val="nil" w:color="auto" w:fill="auto"/>
                <w:rtl w:val="0"/>
                <w:lang w:val="en-US"/>
              </w:rPr>
              <w:t>[2]</w:t>
            </w:r>
          </w:p>
        </w:tc>
        <w:tc>
          <w:tcPr>
            <w:tcW w:type="dxa" w:w="18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shd w:val="nil" w:color="auto" w:fill="auto"/>
                <w:rtl w:val="0"/>
                <w:lang w:val="en-US"/>
              </w:rPr>
              <w:t>не разматрамо их</w:t>
            </w:r>
          </w:p>
        </w:tc>
      </w:tr>
    </w:tbl>
    <w:p>
      <w:pPr>
        <w:pStyle w:val="caption"/>
        <w:keepNext w:val="1"/>
        <w:widowControl w:val="0"/>
        <w:ind w:firstLine="0"/>
      </w:pPr>
    </w:p>
    <w:p>
      <w:pPr>
        <w:pStyle w:val="Body"/>
        <w:keepNext w:val="1"/>
        <w:ind w:firstLine="0"/>
        <w:jc w:val="center"/>
      </w:pPr>
      <w:r>
        <w:rPr>
          <w:i w:val="1"/>
          <w:iCs w:val="1"/>
        </w:rPr>
        <w:drawing xmlns:a="http://schemas.openxmlformats.org/drawingml/2006/main">
          <wp:inline distT="0" distB="0" distL="0" distR="0">
            <wp:extent cx="2218414" cy="1310087"/>
            <wp:effectExtent l="0" t="0" r="0" b="0"/>
            <wp:docPr id="1073741827" name="officeArt object" descr="Picture 4"/>
            <wp:cNvGraphicFramePr/>
            <a:graphic xmlns:a="http://schemas.openxmlformats.org/drawingml/2006/main">
              <a:graphicData uri="http://schemas.openxmlformats.org/drawingml/2006/picture">
                <pic:pic xmlns:pic="http://schemas.openxmlformats.org/drawingml/2006/picture">
                  <pic:nvPicPr>
                    <pic:cNvPr id="1073741827" name="Picture 4" descr="Picture 4"/>
                    <pic:cNvPicPr>
                      <a:picLocks noChangeAspect="1"/>
                    </pic:cNvPicPr>
                  </pic:nvPicPr>
                  <pic:blipFill>
                    <a:blip r:embed="rId8">
                      <a:extLst/>
                    </a:blip>
                    <a:stretch>
                      <a:fillRect/>
                    </a:stretch>
                  </pic:blipFill>
                  <pic:spPr>
                    <a:xfrm>
                      <a:off x="0" y="0"/>
                      <a:ext cx="2218414" cy="1310087"/>
                    </a:xfrm>
                    <a:prstGeom prst="rect">
                      <a:avLst/>
                    </a:prstGeom>
                    <a:ln w="6350" cap="flat">
                      <a:solidFill>
                        <a:srgbClr val="000000"/>
                      </a:solidFill>
                      <a:prstDash val="solid"/>
                      <a:miter lim="800000"/>
                    </a:ln>
                    <a:effectLst/>
                  </pic:spPr>
                </pic:pic>
              </a:graphicData>
            </a:graphic>
          </wp:inline>
        </w:drawing>
      </w:r>
    </w:p>
    <w:p>
      <w:pPr>
        <w:pStyle w:val="caption"/>
      </w:pPr>
      <w:r>
        <w:rPr>
          <w:rFonts w:cs="Arial Unicode MS" w:eastAsia="Arial Unicode MS" w:hint="default"/>
          <w:rtl w:val="0"/>
          <w:lang w:val="en-US"/>
        </w:rPr>
        <w:t xml:space="preserve">Слика </w:t>
      </w:r>
      <w:r>
        <w:rPr>
          <w:rFonts w:cs="Arial Unicode MS" w:eastAsia="Arial Unicode MS"/>
          <w:rtl w:val="0"/>
          <w:lang w:val="en-US"/>
        </w:rPr>
        <w:t xml:space="preserve">2. </w:t>
      </w:r>
      <w:r>
        <w:rPr>
          <w:rFonts w:cs="Arial Unicode MS" w:eastAsia="Arial Unicode MS" w:hint="default"/>
          <w:rtl w:val="0"/>
          <w:lang w:val="en-US"/>
        </w:rPr>
        <w:t xml:space="preserve">Исти пример слике са мањим димензијама </w:t>
      </w:r>
      <w:r>
        <w:rPr>
          <w:rFonts w:cs="Arial Unicode MS" w:eastAsia="Arial Unicode MS"/>
          <w:rtl w:val="0"/>
          <w:lang w:val="en-US"/>
        </w:rPr>
        <w:t>[3]</w:t>
      </w:r>
    </w:p>
    <w:p>
      <w:pPr>
        <w:pStyle w:val="0 - Текст рада"/>
      </w:pPr>
      <w:r>
        <w:rPr>
          <w:rtl w:val="0"/>
        </w:rPr>
        <w:t xml:space="preserve">На крају рада даје се кратка биографија аутора </w:t>
      </w:r>
      <w:r>
        <w:rPr>
          <w:rtl w:val="0"/>
        </w:rPr>
        <w:t>(</w:t>
      </w:r>
      <w:r>
        <w:rPr>
          <w:rtl w:val="0"/>
        </w:rPr>
        <w:t xml:space="preserve">фонт величине </w:t>
      </w:r>
      <w:r>
        <w:rPr>
          <w:rtl w:val="0"/>
        </w:rPr>
        <w:t xml:space="preserve">9) </w:t>
      </w:r>
      <w:r>
        <w:rPr>
          <w:rtl w:val="0"/>
          <w:lang w:val="ru-RU"/>
        </w:rPr>
        <w:t>и пожељно прилаже слика</w:t>
      </w:r>
      <w:r>
        <w:rPr>
          <w:rtl w:val="0"/>
        </w:rPr>
        <w:t>.</w:t>
      </w:r>
    </w:p>
    <w:p>
      <w:pPr>
        <w:pStyle w:val="0 - Текст рада"/>
      </w:pPr>
      <w:r>
        <w:rPr>
          <w:rtl w:val="0"/>
        </w:rPr>
        <w:t>Избегавати колико је могуће линкове на веб странице као референце</w:t>
      </w:r>
      <w:r>
        <w:rPr>
          <w:rtl w:val="0"/>
        </w:rPr>
        <w:t xml:space="preserve">. </w:t>
      </w:r>
    </w:p>
    <w:p>
      <w:pPr>
        <w:pStyle w:val="0 - Текст рада"/>
      </w:pPr>
      <w:r>
        <w:rPr>
          <w:rtl w:val="0"/>
        </w:rPr>
        <w:t>Литература која садржи доминантно такве линкове</w:t>
      </w:r>
      <w:r>
        <w:rPr>
          <w:rtl w:val="0"/>
        </w:rPr>
        <w:t xml:space="preserve">, </w:t>
      </w:r>
      <w:r>
        <w:rPr>
          <w:rtl w:val="0"/>
        </w:rPr>
        <w:t>посебно на веб странице непровереног научног и</w:t>
      </w:r>
      <w:r>
        <w:rPr>
          <w:rtl w:val="0"/>
        </w:rPr>
        <w:t>/</w:t>
      </w:r>
      <w:r>
        <w:rPr>
          <w:rtl w:val="0"/>
        </w:rPr>
        <w:t>или стручног садржаја је неприхватљива</w:t>
      </w:r>
      <w:r>
        <w:rPr>
          <w:rtl w:val="0"/>
        </w:rPr>
        <w:t>.</w:t>
      </w:r>
    </w:p>
    <w:p>
      <w:pPr>
        <w:pStyle w:val="0 - Текст рада"/>
      </w:pPr>
      <w:r>
        <w:rPr>
          <w:rtl w:val="0"/>
        </w:rPr>
        <w:t>За квалитет и веродостојност резултата одговорни су ментор и аутори</w:t>
      </w:r>
      <w:r>
        <w:rPr>
          <w:rtl w:val="0"/>
        </w:rPr>
        <w:t xml:space="preserve">. </w:t>
      </w:r>
    </w:p>
    <w:p>
      <w:pPr>
        <w:pStyle w:val="0 - Текст рада"/>
      </w:pPr>
      <w:r>
        <w:rPr>
          <w:rtl w:val="0"/>
        </w:rPr>
        <w:t xml:space="preserve">Референцирање литературе ради се према </w:t>
      </w:r>
      <w:r>
        <w:rPr>
          <w:rtl w:val="0"/>
          <w:lang w:val="en-US"/>
        </w:rPr>
        <w:t xml:space="preserve">IEEE Citation Style [3,4]. </w:t>
      </w:r>
      <w:r>
        <w:rPr>
          <w:rtl w:val="0"/>
        </w:rPr>
        <w:t>Радови треба да буду побројани на крају рада</w:t>
      </w:r>
      <w:r>
        <w:rPr>
          <w:rtl w:val="0"/>
        </w:rPr>
        <w:t xml:space="preserve">, </w:t>
      </w:r>
      <w:r>
        <w:rPr>
          <w:rtl w:val="0"/>
          <w:lang w:val="ru-RU"/>
        </w:rPr>
        <w:t xml:space="preserve">треба да буду означени </w:t>
      </w:r>
      <w:r>
        <w:rPr>
          <w:rtl w:val="0"/>
        </w:rPr>
        <w:t>(</w:t>
      </w:r>
      <w:r>
        <w:rPr>
          <w:rtl w:val="0"/>
        </w:rPr>
        <w:t>нумерисани бројевима</w:t>
      </w:r>
      <w:r>
        <w:rPr>
          <w:rtl w:val="0"/>
        </w:rPr>
        <w:t xml:space="preserve">) </w:t>
      </w:r>
      <w:r>
        <w:rPr>
          <w:rtl w:val="0"/>
          <w:lang w:val="ru-RU"/>
        </w:rPr>
        <w:t>у углатој загради</w:t>
      </w:r>
      <w:r>
        <w:rPr>
          <w:rtl w:val="0"/>
        </w:rPr>
        <w:t xml:space="preserve">, </w:t>
      </w:r>
      <w:r>
        <w:rPr>
          <w:rtl w:val="0"/>
          <w:lang w:val="ru-RU"/>
        </w:rPr>
        <w:t>по редоследу референцирања</w:t>
      </w:r>
      <w:r>
        <w:rPr>
          <w:rtl w:val="0"/>
        </w:rPr>
        <w:t xml:space="preserve">, </w:t>
      </w:r>
      <w:r>
        <w:rPr>
          <w:rtl w:val="0"/>
          <w:lang w:val="ru-RU"/>
        </w:rPr>
        <w:t>као у овом упутству</w:t>
      </w:r>
      <w:r>
        <w:rPr>
          <w:rtl w:val="0"/>
        </w:rPr>
        <w:t xml:space="preserve">, </w:t>
      </w:r>
      <w:r>
        <w:rPr>
          <w:rtl w:val="0"/>
          <w:lang w:val="ru-RU"/>
        </w:rPr>
        <w:t xml:space="preserve">односно као у </w:t>
      </w:r>
      <w:r>
        <w:rPr>
          <w:rtl w:val="0"/>
          <w:lang w:val="pt-PT"/>
        </w:rPr>
        <w:t xml:space="preserve">[3]. </w:t>
      </w:r>
      <w:r>
        <w:rPr>
          <w:rtl w:val="0"/>
          <w:lang w:val="ru-RU"/>
        </w:rPr>
        <w:t>На месту референцирања</w:t>
      </w:r>
      <w:r>
        <w:rPr>
          <w:rtl w:val="0"/>
        </w:rPr>
        <w:t xml:space="preserve">, </w:t>
      </w:r>
      <w:r>
        <w:rPr>
          <w:rtl w:val="0"/>
        </w:rPr>
        <w:t xml:space="preserve">бројеви у загради треба да буду уписани унутар реченице </w:t>
      </w:r>
      <w:r>
        <w:rPr>
          <w:rtl w:val="0"/>
          <w:lang w:val="pt-PT"/>
        </w:rPr>
        <w:t xml:space="preserve">[3] </w:t>
      </w:r>
      <w:r>
        <w:rPr>
          <w:rtl w:val="0"/>
        </w:rPr>
        <w:t xml:space="preserve">или на крају реченице </w:t>
      </w:r>
      <w:r>
        <w:rPr>
          <w:rtl w:val="0"/>
          <w:lang w:val="pt-PT"/>
        </w:rPr>
        <w:t xml:space="preserve">[2,3,4] </w:t>
      </w:r>
      <w:r>
        <w:rPr>
          <w:rtl w:val="0"/>
        </w:rPr>
        <w:t xml:space="preserve">или као </w:t>
      </w:r>
      <w:r>
        <w:rPr>
          <w:rtl w:val="0"/>
          <w:lang w:val="pt-PT"/>
        </w:rPr>
        <w:t xml:space="preserve">[2-4]. </w:t>
      </w:r>
      <w:r>
        <w:rPr>
          <w:rtl w:val="0"/>
        </w:rPr>
        <w:t>Ако се број ставља на крају реченице</w:t>
      </w:r>
      <w:r>
        <w:rPr>
          <w:rtl w:val="0"/>
        </w:rPr>
        <w:t xml:space="preserve">, </w:t>
      </w:r>
      <w:r>
        <w:rPr>
          <w:rtl w:val="0"/>
        </w:rPr>
        <w:t xml:space="preserve">мора да буде уписан унутар реченице </w:t>
      </w:r>
      <w:r>
        <w:rPr>
          <w:rtl w:val="0"/>
          <w:lang w:val="pt-PT"/>
        </w:rPr>
        <w:t xml:space="preserve">[4]. </w:t>
      </w:r>
      <w:r>
        <w:rPr>
          <w:rtl w:val="0"/>
          <w:lang w:val="ru-RU"/>
        </w:rPr>
        <w:t>Дакле</w:t>
      </w:r>
      <w:r>
        <w:rPr>
          <w:rtl w:val="0"/>
        </w:rPr>
        <w:t xml:space="preserve">, </w:t>
      </w:r>
      <w:r>
        <w:rPr>
          <w:rtl w:val="0"/>
        </w:rPr>
        <w:t>никако</w:t>
      </w:r>
      <w:r>
        <w:rPr>
          <w:rtl w:val="0"/>
          <w:lang w:val="pt-PT"/>
        </w:rPr>
        <w:t xml:space="preserve">. [4] </w:t>
      </w:r>
    </w:p>
    <w:p>
      <w:pPr>
        <w:pStyle w:val="0 - Текст рада"/>
      </w:pPr>
      <w:r>
        <w:rPr>
          <w:rtl w:val="0"/>
        </w:rPr>
        <w:t>Такође</w:t>
      </w:r>
      <w:r>
        <w:rPr>
          <w:rtl w:val="0"/>
        </w:rPr>
        <w:t xml:space="preserve">, </w:t>
      </w:r>
      <w:r>
        <w:rPr>
          <w:rtl w:val="0"/>
        </w:rPr>
        <w:t xml:space="preserve">заграда са бројем мора да буде одвојена од текста </w:t>
      </w:r>
      <w:r>
        <w:rPr>
          <w:rtl w:val="0"/>
          <w:lang w:val="pt-PT"/>
        </w:rPr>
        <w:t xml:space="preserve">[2] </w:t>
      </w:r>
      <w:r>
        <w:rPr>
          <w:rtl w:val="0"/>
        </w:rPr>
        <w:t>а никако</w:t>
      </w:r>
      <w:r>
        <w:rPr>
          <w:rtl w:val="0"/>
          <w:lang w:val="pt-PT"/>
        </w:rPr>
        <w:t xml:space="preserve">[2]. </w:t>
      </w:r>
    </w:p>
    <w:p>
      <w:pPr>
        <w:pStyle w:val="0 - Текст рада"/>
      </w:pPr>
      <w:r>
        <w:rPr>
          <w:rtl w:val="0"/>
        </w:rPr>
        <w:t>Исто правило о цитирању важи и за све слике које су преузете из литературе</w:t>
      </w:r>
      <w:r>
        <w:rPr>
          <w:rtl w:val="0"/>
        </w:rPr>
        <w:t xml:space="preserve">, </w:t>
      </w:r>
      <w:r>
        <w:rPr>
          <w:rtl w:val="0"/>
        </w:rPr>
        <w:t>као нпр</w:t>
      </w:r>
      <w:r>
        <w:rPr>
          <w:rtl w:val="0"/>
        </w:rPr>
        <w:t xml:space="preserve">. </w:t>
      </w:r>
      <w:r>
        <w:rPr>
          <w:rtl w:val="0"/>
          <w:lang w:val="ru-RU"/>
        </w:rPr>
        <w:t xml:space="preserve">у називу слика </w:t>
      </w:r>
      <w:r>
        <w:rPr>
          <w:rtl w:val="0"/>
        </w:rPr>
        <w:t xml:space="preserve">1. </w:t>
      </w:r>
      <w:r>
        <w:rPr>
          <w:rtl w:val="0"/>
        </w:rPr>
        <w:t xml:space="preserve">и </w:t>
      </w:r>
      <w:r>
        <w:rPr>
          <w:rtl w:val="0"/>
        </w:rPr>
        <w:t>2.</w:t>
      </w:r>
    </w:p>
    <w:p>
      <w:pPr>
        <w:pStyle w:val="0 - Текст рада"/>
      </w:pPr>
      <w:r>
        <w:rPr>
          <w:rtl w:val="0"/>
        </w:rPr>
        <w:t>Сва литература наведена на крају текста мора да буде цитирана</w:t>
      </w:r>
      <w:r>
        <w:rPr>
          <w:rtl w:val="0"/>
        </w:rPr>
        <w:t xml:space="preserve">. </w:t>
      </w:r>
      <w:r>
        <w:rPr>
          <w:rtl w:val="0"/>
        </w:rPr>
        <w:t>Не треба копирати цео списак литературе из мастер рада</w:t>
      </w:r>
      <w:r>
        <w:rPr>
          <w:rtl w:val="0"/>
        </w:rPr>
        <w:t xml:space="preserve">, </w:t>
      </w:r>
      <w:r>
        <w:rPr>
          <w:rtl w:val="0"/>
        </w:rPr>
        <w:t>ако се само неки од тих наслова цитирају у овом раду</w:t>
      </w:r>
      <w:r>
        <w:rPr>
          <w:rtl w:val="0"/>
        </w:rPr>
        <w:t>.</w:t>
      </w:r>
    </w:p>
    <w:p>
      <w:pPr>
        <w:pStyle w:val="1 - Поглавље"/>
        <w:numPr>
          <w:ilvl w:val="0"/>
          <w:numId w:val="3"/>
        </w:numPr>
        <w:bidi w:val="0"/>
        <w:ind w:right="0"/>
        <w:jc w:val="left"/>
        <w:rPr>
          <w:rtl w:val="0"/>
        </w:rPr>
      </w:pPr>
      <w:r>
        <w:rPr>
          <w:rtl w:val="0"/>
        </w:rPr>
        <w:t>ЗАКЉУЧАК</w:t>
      </w:r>
    </w:p>
    <w:p>
      <w:pPr>
        <w:pStyle w:val="0 - Текст рада"/>
      </w:pPr>
      <w:r>
        <w:rPr>
          <w:rtl w:val="0"/>
          <w:lang w:val="ru-RU"/>
        </w:rPr>
        <w:t xml:space="preserve">Драги Аутори </w:t>
      </w:r>
      <w:r>
        <w:rPr>
          <w:rtl w:val="0"/>
        </w:rPr>
        <w:t>(</w:t>
      </w:r>
      <w:r>
        <w:rPr>
          <w:rtl w:val="0"/>
        </w:rPr>
        <w:t>Мастеранти</w:t>
      </w:r>
      <w:r>
        <w:rPr>
          <w:rtl w:val="0"/>
        </w:rPr>
        <w:t xml:space="preserve">) </w:t>
      </w:r>
      <w:r>
        <w:rPr>
          <w:rtl w:val="0"/>
        </w:rPr>
        <w:t>и Ментори</w:t>
      </w:r>
      <w:r>
        <w:rPr>
          <w:rtl w:val="0"/>
        </w:rPr>
        <w:t xml:space="preserve">, </w:t>
      </w:r>
      <w:r>
        <w:rPr>
          <w:rtl w:val="0"/>
        </w:rPr>
        <w:t>у заједничком је интересу да поштујемо наведена упутства како би читав поступак прихватања рада у Зборнику</w:t>
      </w:r>
      <w:r>
        <w:rPr>
          <w:rtl w:val="0"/>
        </w:rPr>
        <w:t xml:space="preserve">, </w:t>
      </w:r>
      <w:r>
        <w:rPr>
          <w:rtl w:val="0"/>
        </w:rPr>
        <w:t>одбрана мастер рада</w:t>
      </w:r>
      <w:r>
        <w:rPr>
          <w:rtl w:val="0"/>
        </w:rPr>
        <w:t xml:space="preserve">, </w:t>
      </w:r>
      <w:r>
        <w:rPr>
          <w:rtl w:val="0"/>
        </w:rPr>
        <w:t>објављивање рада и дипломирање било урађено правовремено и делотворно</w:t>
      </w:r>
      <w:r>
        <w:rPr>
          <w:rtl w:val="0"/>
        </w:rPr>
        <w:t xml:space="preserve">. </w:t>
      </w:r>
    </w:p>
    <w:p>
      <w:pPr>
        <w:pStyle w:val="0 - Текст рада"/>
      </w:pPr>
      <w:r>
        <w:rPr>
          <w:rtl w:val="0"/>
        </w:rPr>
        <w:t>Радујемо се успешној сарадњи и новим мастер дипломама</w:t>
      </w:r>
      <w:r>
        <w:rPr>
          <w:rtl w:val="0"/>
        </w:rPr>
        <w:t>.</w:t>
      </w:r>
    </w:p>
    <w:p>
      <w:pPr>
        <w:pStyle w:val="1 - Поглавље"/>
        <w:numPr>
          <w:ilvl w:val="0"/>
          <w:numId w:val="2"/>
        </w:numPr>
      </w:pPr>
      <w:r>
        <w:rPr>
          <w:rtl w:val="0"/>
        </w:rPr>
        <w:t>ЛИТЕРАТУРА</w:t>
      </w:r>
    </w:p>
    <w:p>
      <w:pPr>
        <w:pStyle w:val="Литература"/>
      </w:pPr>
      <w:r>
        <w:rPr>
          <w:rtl w:val="0"/>
          <w:lang w:val="pt-PT"/>
        </w:rPr>
        <w:t xml:space="preserve">[1] D. Merkel, </w:t>
      </w:r>
      <w:r>
        <w:rPr>
          <w:rtl w:val="0"/>
        </w:rPr>
        <w:t>„</w:t>
      </w:r>
      <w:r>
        <w:rPr>
          <w:rtl w:val="0"/>
          <w:lang w:val="en-US"/>
        </w:rPr>
        <w:t>Docker: lightweight linux containers for consistent development and deployment," Linux J., vol. 239, no. 2, p. 2, 2014.</w:t>
      </w:r>
    </w:p>
    <w:p>
      <w:pPr>
        <w:pStyle w:val="Литература"/>
      </w:pPr>
      <w:r>
        <w:rPr>
          <w:rtl w:val="0"/>
          <w:lang w:val="pt-PT"/>
        </w:rPr>
        <w:t xml:space="preserve">[2] X. Lin, L. Lei, Y. Wang, J. Jing, K. Sun, i Q. Zhou, </w:t>
      </w:r>
      <w:r>
        <w:rPr>
          <w:rtl w:val="0"/>
        </w:rPr>
        <w:t>„</w:t>
      </w:r>
      <w:r>
        <w:rPr>
          <w:rtl w:val="0"/>
          <w:lang w:val="en-US"/>
        </w:rPr>
        <w:t xml:space="preserve">A measurement study on linux container security: Attacks and countermeasures," </w:t>
      </w:r>
      <w:r>
        <w:rPr>
          <w:rtl w:val="0"/>
          <w:lang w:val="ru-RU"/>
        </w:rPr>
        <w:t xml:space="preserve">у </w:t>
      </w:r>
      <w:r>
        <w:rPr>
          <w:rtl w:val="0"/>
          <w:lang w:val="en-US"/>
        </w:rPr>
        <w:t>Proc. 34th Annual Computer Security Applications Conference (ACSAC), 2018, str. 418</w:t>
      </w:r>
      <w:r>
        <w:rPr>
          <w:rtl w:val="0"/>
        </w:rPr>
        <w:t>–</w:t>
      </w:r>
      <w:r>
        <w:rPr>
          <w:rtl w:val="0"/>
        </w:rPr>
        <w:t>429.</w:t>
      </w:r>
    </w:p>
    <w:p>
      <w:pPr>
        <w:pStyle w:val="Литература"/>
      </w:pPr>
      <w:r>
        <w:rPr>
          <w:rtl w:val="0"/>
          <w:lang w:val="it-IT"/>
        </w:rPr>
        <w:t xml:space="preserve">[3] M. Reeves, D. J. Tian, A. Bianchi, i Z. B. Celik, </w:t>
      </w:r>
      <w:r>
        <w:rPr>
          <w:rtl w:val="0"/>
        </w:rPr>
        <w:t>„</w:t>
      </w:r>
      <w:r>
        <w:rPr>
          <w:rtl w:val="0"/>
          <w:lang w:val="en-US"/>
        </w:rPr>
        <w:t xml:space="preserve">Towards improving container security by preventing runtime escapes," </w:t>
      </w:r>
      <w:r>
        <w:rPr>
          <w:rtl w:val="0"/>
          <w:lang w:val="ru-RU"/>
        </w:rPr>
        <w:t xml:space="preserve">у </w:t>
      </w:r>
      <w:r>
        <w:rPr>
          <w:rtl w:val="0"/>
          <w:lang w:val="en-US"/>
        </w:rPr>
        <w:t>2021 IEEE Secure Development Conference (SecDev), 2021, str. 38</w:t>
      </w:r>
      <w:r>
        <w:rPr>
          <w:rtl w:val="0"/>
        </w:rPr>
        <w:t>–</w:t>
      </w:r>
      <w:r>
        <w:rPr>
          <w:rtl w:val="0"/>
        </w:rPr>
        <w:t>46.</w:t>
      </w:r>
    </w:p>
    <w:p>
      <w:pPr>
        <w:pStyle w:val="Литература"/>
      </w:pPr>
      <w:r>
        <w:rPr>
          <w:rtl w:val="0"/>
          <w:lang w:val="it-IT"/>
        </w:rPr>
        <w:t xml:space="preserve">[4] S. Yao, J. Zhao, D. Yu, N. Du, I. Shafran, K. Narasimhan, i Y. Cao, </w:t>
      </w:r>
      <w:r>
        <w:rPr>
          <w:rtl w:val="0"/>
        </w:rPr>
        <w:t>„</w:t>
      </w:r>
      <w:r>
        <w:rPr>
          <w:rtl w:val="0"/>
          <w:lang w:val="en-US"/>
        </w:rPr>
        <w:t>ReAct: Synergizing reasoning and acting in language models," arXiv preprint arXiv:2210.03629, 2022.</w:t>
      </w:r>
    </w:p>
    <w:p>
      <w:pPr>
        <w:pStyle w:val="Литература"/>
      </w:pPr>
      <w:r>
        <w:rPr>
          <w:rtl w:val="0"/>
        </w:rPr>
        <w:t xml:space="preserve">[5] L. Wang, C. Ma, X. Feng i dr., </w:t>
      </w:r>
      <w:r>
        <w:rPr>
          <w:rtl w:val="0"/>
        </w:rPr>
        <w:t>„</w:t>
      </w:r>
      <w:r>
        <w:rPr>
          <w:rtl w:val="0"/>
          <w:lang w:val="en-US"/>
        </w:rPr>
        <w:t>A survey on large language model based autonomous agents," Frontiers of Computer Science, vol. 18, no. 6, str. 186345, 2024.</w:t>
      </w:r>
    </w:p>
    <w:p>
      <w:pPr>
        <w:pStyle w:val="Литература"/>
      </w:pPr>
      <w:r>
        <w:rPr>
          <w:rtl w:val="0"/>
        </w:rPr>
        <w:t xml:space="preserve">[6] R. Fang, R. Bindu, A. Gupta, Q. Zhan, i D. Kang, </w:t>
      </w:r>
      <w:r>
        <w:rPr>
          <w:rtl w:val="0"/>
        </w:rPr>
        <w:t>„</w:t>
      </w:r>
      <w:r>
        <w:rPr>
          <w:rtl w:val="0"/>
          <w:lang w:val="en-US"/>
        </w:rPr>
        <w:t>LLM agents can autonomously hack websites," arXiv preprint arXiv:2402.06664, 2024.</w:t>
      </w:r>
    </w:p>
    <w:p>
      <w:pPr>
        <w:pStyle w:val="Литература"/>
      </w:pPr>
    </w:p>
    <w:p>
      <w:pPr>
        <w:pStyle w:val="Литература"/>
      </w:pPr>
      <w:r>
        <w:rPr>
          <w:rtl w:val="0"/>
        </w:rPr>
        <w:t xml:space="preserve">[7] Y. Zhu, A. Kellermann, A. Gupta, P. Li, R. Fang, R. Bindu, i D. Kang, </w:t>
      </w:r>
      <w:r>
        <w:rPr>
          <w:rtl w:val="0"/>
        </w:rPr>
        <w:t>„</w:t>
      </w:r>
      <w:r>
        <w:rPr>
          <w:rtl w:val="0"/>
          <w:lang w:val="en-US"/>
        </w:rPr>
        <w:t xml:space="preserve">Teams of LLM agents can exploit zero-day vulnerabilities," </w:t>
      </w:r>
      <w:r>
        <w:rPr>
          <w:rtl w:val="0"/>
          <w:lang w:val="ru-RU"/>
        </w:rPr>
        <w:t xml:space="preserve">у </w:t>
      </w:r>
      <w:r>
        <w:rPr>
          <w:rtl w:val="0"/>
          <w:lang w:val="en-US"/>
        </w:rPr>
        <w:t>Proc. 19th Conference of the European Chapter of the Association for Computational Linguistics (EACL), 2026, str. 23</w:t>
      </w:r>
      <w:r>
        <w:rPr>
          <w:rtl w:val="0"/>
        </w:rPr>
        <w:t>–</w:t>
      </w:r>
      <w:r>
        <w:rPr>
          <w:rtl w:val="0"/>
        </w:rPr>
        <w:t>35.</w:t>
      </w:r>
    </w:p>
    <w:p>
      <w:pPr>
        <w:pStyle w:val="Лабеле (кључне речи"/>
      </w:pPr>
      <w:r>
        <w:rPr>
          <w:rtl w:val="0"/>
        </w:rPr>
        <w:t>Кратка биографија</w:t>
      </w:r>
      <w:r>
        <w:rPr>
          <w:rtl w:val="0"/>
        </w:rPr>
        <w:t>:</w:t>
      </w:r>
    </w:p>
    <w:tbl>
      <w:tblPr>
        <w:tblW w:w="4569"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4"/>
        <w:gridCol w:w="3005"/>
      </w:tblGrid>
      <w:tr>
        <w:tblPrEx>
          <w:shd w:val="clear" w:color="auto" w:fill="ced7e7"/>
        </w:tblPrEx>
        <w:trPr>
          <w:trHeight w:val="2192" w:hRule="atLeast"/>
        </w:trPr>
        <w:tc>
          <w:tcPr>
            <w:tcW w:type="dxa" w:w="1564"/>
            <w:tcBorders>
              <w:top w:val="nil"/>
              <w:left w:val="nil"/>
              <w:bottom w:val="nil"/>
              <w:right w:val="nil"/>
            </w:tcBorders>
            <w:shd w:val="clear" w:color="auto" w:fill="auto"/>
            <w:tcMar>
              <w:top w:type="dxa" w:w="80"/>
              <w:left w:type="dxa" w:w="80"/>
              <w:bottom w:type="dxa" w:w="80"/>
              <w:right w:type="dxa" w:w="80"/>
            </w:tcMar>
            <w:vAlign w:val="top"/>
          </w:tcPr>
          <w:p>
            <w:pPr>
              <w:pStyle w:val="Body"/>
              <w:rPr>
                <w:sz w:val="18"/>
                <w:szCs w:val="18"/>
                <w:shd w:val="nil" w:color="auto" w:fill="auto"/>
              </w:rPr>
            </w:pPr>
            <w:r>
              <w:rPr>
                <w:sz w:val="18"/>
                <w:szCs w:val="18"/>
                <w:shd w:val="nil" w:color="auto" w:fill="auto"/>
                <w:rtl w:val="0"/>
              </w:rPr>
              <w:t xml:space="preserve">Фотографија аутора </w:t>
            </w:r>
            <w:r>
              <w:rPr>
                <w:sz w:val="18"/>
                <w:szCs w:val="18"/>
                <w:shd w:val="nil" w:color="auto" w:fill="auto"/>
                <w:rtl w:val="0"/>
              </w:rPr>
              <w:t>(</w:t>
            </w:r>
            <w:r>
              <w:rPr>
                <w:sz w:val="18"/>
                <w:szCs w:val="18"/>
                <w:shd w:val="nil" w:color="auto" w:fill="auto"/>
                <w:rtl w:val="0"/>
              </w:rPr>
              <w:t>пожељно</w:t>
            </w:r>
            <w:r>
              <w:rPr>
                <w:sz w:val="18"/>
                <w:szCs w:val="18"/>
                <w:shd w:val="nil" w:color="auto" w:fill="auto"/>
                <w:rtl w:val="0"/>
              </w:rPr>
              <w:t>)</w:t>
            </w:r>
          </w:p>
          <w:p>
            <w:pPr>
              <w:pStyle w:val="Body"/>
              <w:bidi w:val="0"/>
              <w:ind w:left="0" w:right="0" w:firstLine="360"/>
              <w:jc w:val="both"/>
              <w:rPr>
                <w:sz w:val="18"/>
                <w:szCs w:val="18"/>
                <w:shd w:val="nil" w:color="auto" w:fill="auto"/>
                <w:rtl w:val="0"/>
              </w:rPr>
            </w:pPr>
            <w:r>
              <w:rPr>
                <w:i w:val="1"/>
                <w:iCs w:val="1"/>
                <w:sz w:val="18"/>
                <w:szCs w:val="18"/>
                <w:shd w:val="nil" w:color="auto" w:fill="auto"/>
                <w:rtl w:val="0"/>
                <w:lang w:val="en-US"/>
              </w:rPr>
              <w:t>W</w:t>
            </w:r>
            <w:r>
              <w:rPr>
                <w:i w:val="1"/>
                <w:iCs w:val="1"/>
                <w:sz w:val="18"/>
                <w:szCs w:val="18"/>
                <w:shd w:val="nil" w:color="auto" w:fill="auto"/>
                <w:rtl w:val="0"/>
                <w:lang w:val="da-DK"/>
              </w:rPr>
              <w:t>idth</w:t>
            </w:r>
            <w:r>
              <w:rPr>
                <w:sz w:val="18"/>
                <w:szCs w:val="18"/>
                <w:shd w:val="nil" w:color="auto" w:fill="auto"/>
                <w:rtl w:val="0"/>
              </w:rPr>
              <w:t xml:space="preserve"> 2.5cm; </w:t>
            </w:r>
            <w:r>
              <w:rPr>
                <w:i w:val="1"/>
                <w:iCs w:val="1"/>
                <w:sz w:val="18"/>
                <w:szCs w:val="18"/>
                <w:shd w:val="nil" w:color="auto" w:fill="auto"/>
                <w:rtl w:val="0"/>
                <w:lang w:val="en-US"/>
              </w:rPr>
              <w:t>H</w:t>
            </w:r>
            <w:r>
              <w:rPr>
                <w:i w:val="1"/>
                <w:iCs w:val="1"/>
                <w:sz w:val="18"/>
                <w:szCs w:val="18"/>
                <w:shd w:val="nil" w:color="auto" w:fill="auto"/>
                <w:rtl w:val="0"/>
                <w:lang w:val="en-US"/>
              </w:rPr>
              <w:t>eight</w:t>
            </w:r>
            <w:r>
              <w:rPr>
                <w:sz w:val="18"/>
                <w:szCs w:val="18"/>
                <w:shd w:val="nil" w:color="auto" w:fill="auto"/>
                <w:rtl w:val="0"/>
              </w:rPr>
              <w:t xml:space="preserve">: </w:t>
            </w:r>
            <w:r>
              <w:rPr>
                <w:i w:val="1"/>
                <w:iCs w:val="1"/>
                <w:sz w:val="18"/>
                <w:szCs w:val="18"/>
                <w:shd w:val="nil" w:color="auto" w:fill="auto"/>
                <w:rtl w:val="0"/>
              </w:rPr>
              <w:t>auto</w:t>
            </w:r>
            <w:r>
              <w:rPr>
                <w:sz w:val="18"/>
                <w:szCs w:val="18"/>
                <w:shd w:val="nil" w:color="auto" w:fill="auto"/>
                <w:rtl w:val="0"/>
              </w:rPr>
              <w:t xml:space="preserve"> (</w:t>
            </w:r>
            <w:r>
              <w:rPr>
                <w:i w:val="1"/>
                <w:iCs w:val="1"/>
                <w:sz w:val="18"/>
                <w:szCs w:val="18"/>
                <w:shd w:val="nil" w:color="auto" w:fill="auto"/>
                <w:rtl w:val="0"/>
                <w:lang w:val="en-US"/>
              </w:rPr>
              <w:t>lock aspect ratio</w:t>
            </w:r>
            <w:r>
              <w:rPr>
                <w:sz w:val="18"/>
                <w:szCs w:val="18"/>
                <w:shd w:val="nil" w:color="auto" w:fill="auto"/>
                <w:rtl w:val="0"/>
              </w:rPr>
              <w:t>)</w:t>
            </w:r>
          </w:p>
          <w:p>
            <w:pPr>
              <w:pStyle w:val="Body"/>
              <w:bidi w:val="0"/>
              <w:ind w:left="0" w:right="0" w:firstLine="360"/>
              <w:jc w:val="both"/>
              <w:rPr>
                <w:rtl w:val="0"/>
              </w:rPr>
            </w:pPr>
            <w:r>
              <w:rPr>
                <w:i w:val="0"/>
                <w:iCs w:val="0"/>
                <w:sz w:val="18"/>
                <w:szCs w:val="18"/>
                <w:shd w:val="nil" w:color="auto" w:fill="auto"/>
                <w:rtl w:val="0"/>
              </w:rPr>
              <w:t>Резолуција</w:t>
            </w:r>
            <w:r>
              <w:rPr>
                <w:i w:val="0"/>
                <w:iCs w:val="0"/>
                <w:sz w:val="18"/>
                <w:szCs w:val="18"/>
                <w:shd w:val="nil" w:color="auto" w:fill="auto"/>
                <w:rtl w:val="0"/>
              </w:rPr>
              <w:t>:</w:t>
            </w:r>
            <w:r>
              <w:rPr>
                <w:i w:val="1"/>
                <w:iCs w:val="1"/>
                <w:sz w:val="18"/>
                <w:szCs w:val="18"/>
                <w:shd w:val="nil" w:color="auto" w:fill="auto"/>
                <w:rtl w:val="0"/>
              </w:rPr>
              <w:t xml:space="preserve"> </w:t>
            </w:r>
            <w:r>
              <w:rPr>
                <w:i w:val="0"/>
                <w:iCs w:val="0"/>
                <w:sz w:val="18"/>
                <w:szCs w:val="18"/>
                <w:shd w:val="nil" w:color="auto" w:fill="auto"/>
                <w:rtl w:val="0"/>
                <w:lang w:val="ru-RU"/>
              </w:rPr>
              <w:t>минимум</w:t>
            </w:r>
            <w:r>
              <w:rPr>
                <w:i w:val="1"/>
                <w:iCs w:val="1"/>
                <w:sz w:val="18"/>
                <w:szCs w:val="18"/>
                <w:shd w:val="nil" w:color="auto" w:fill="auto"/>
                <w:rtl w:val="0"/>
                <w:lang w:val="de-DE"/>
              </w:rPr>
              <w:t xml:space="preserve"> 300 dpi</w:t>
            </w:r>
          </w:p>
        </w:tc>
        <w:tc>
          <w:tcPr>
            <w:tcW w:type="dxa" w:w="3005"/>
            <w:tcBorders>
              <w:top w:val="nil"/>
              <w:left w:val="nil"/>
              <w:bottom w:val="nil"/>
              <w:right w:val="nil"/>
            </w:tcBorders>
            <w:shd w:val="clear" w:color="auto" w:fill="auto"/>
            <w:tcMar>
              <w:top w:type="dxa" w:w="80"/>
              <w:left w:type="dxa" w:w="80"/>
              <w:bottom w:type="dxa" w:w="80"/>
              <w:right w:type="dxa" w:w="80"/>
            </w:tcMar>
            <w:vAlign w:val="top"/>
          </w:tcPr>
          <w:p>
            <w:pPr>
              <w:pStyle w:val="91 - Биографија"/>
              <w:rPr>
                <w:shd w:val="nil" w:color="auto" w:fill="auto"/>
              </w:rPr>
            </w:pPr>
            <w:r>
              <w:rPr>
                <w:b w:val="1"/>
                <w:bCs w:val="1"/>
                <w:shd w:val="nil" w:color="auto" w:fill="auto"/>
                <w:rtl w:val="0"/>
              </w:rPr>
              <w:t>Марко</w:t>
            </w:r>
            <w:r>
              <w:rPr>
                <w:b w:val="1"/>
                <w:bCs w:val="1"/>
                <w:shd w:val="nil" w:color="auto" w:fill="auto"/>
                <w:rtl w:val="0"/>
              </w:rPr>
              <w:t xml:space="preserve"> </w:t>
            </w:r>
            <w:r>
              <w:rPr>
                <w:b w:val="1"/>
                <w:bCs w:val="1"/>
                <w:shd w:val="nil" w:color="auto" w:fill="auto"/>
                <w:rtl w:val="0"/>
              </w:rPr>
              <w:t>Ердељи</w:t>
            </w:r>
            <w:r>
              <w:rPr>
                <w:b w:val="1"/>
                <w:bCs w:val="1"/>
                <w:shd w:val="nil" w:color="auto" w:fill="auto"/>
                <w:rtl w:val="0"/>
              </w:rPr>
              <w:t xml:space="preserve"> </w:t>
            </w:r>
            <w:r>
              <w:rPr>
                <w:shd w:val="nil" w:color="auto" w:fill="auto"/>
                <w:rtl w:val="0"/>
                <w:lang w:val="ru-RU"/>
              </w:rPr>
              <w:t xml:space="preserve">рођен је у Новом Саду </w:t>
            </w:r>
            <w:r>
              <w:rPr>
                <w:shd w:val="nil" w:color="auto" w:fill="auto"/>
                <w:rtl w:val="0"/>
              </w:rPr>
              <w:t xml:space="preserve">2001. </w:t>
            </w:r>
            <w:r>
              <w:rPr>
                <w:shd w:val="nil" w:color="auto" w:fill="auto"/>
                <w:rtl w:val="0"/>
              </w:rPr>
              <w:t>године</w:t>
            </w:r>
            <w:r>
              <w:rPr>
                <w:shd w:val="nil" w:color="auto" w:fill="auto"/>
                <w:rtl w:val="0"/>
              </w:rPr>
              <w:t xml:space="preserve">. </w:t>
            </w:r>
            <w:r>
              <w:rPr>
                <w:shd w:val="nil" w:color="auto" w:fill="auto"/>
                <w:rtl w:val="0"/>
                <w:lang w:val="ru-RU"/>
              </w:rPr>
              <w:t xml:space="preserve">Основне академске студије завршио је </w:t>
            </w:r>
            <w:r>
              <w:rPr>
                <w:shd w:val="nil" w:color="auto" w:fill="auto"/>
                <w:rtl w:val="0"/>
                <w:lang w:val="en-US"/>
              </w:rPr>
              <w:t xml:space="preserve">2024. </w:t>
            </w:r>
            <w:r>
              <w:rPr>
                <w:shd w:val="nil" w:color="auto" w:fill="auto"/>
                <w:rtl w:val="0"/>
              </w:rPr>
              <w:t>године на Факултету техничких наука Универзитета у Новом Саду</w:t>
            </w:r>
            <w:r>
              <w:rPr>
                <w:shd w:val="nil" w:color="auto" w:fill="auto"/>
                <w:rtl w:val="0"/>
              </w:rPr>
              <w:t xml:space="preserve">, </w:t>
            </w:r>
            <w:r>
              <w:rPr>
                <w:shd w:val="nil" w:color="auto" w:fill="auto"/>
                <w:rtl w:val="0"/>
              </w:rPr>
              <w:t>на студијском програму Софтверско инжењерство и информационе технологије</w:t>
            </w:r>
            <w:r>
              <w:rPr>
                <w:shd w:val="nil" w:color="auto" w:fill="auto"/>
                <w:rtl w:val="0"/>
              </w:rPr>
              <w:t xml:space="preserve">. </w:t>
            </w:r>
            <w:r>
              <w:rPr>
                <w:shd w:val="nil" w:color="auto" w:fill="auto"/>
                <w:rtl w:val="0"/>
              </w:rPr>
              <w:t xml:space="preserve">Мастер академске студије </w:t>
            </w:r>
            <w:r>
              <w:rPr>
                <w:shd w:val="nil" w:color="auto" w:fill="auto"/>
                <w:rtl w:val="0"/>
              </w:rPr>
              <w:t>уписао</w:t>
            </w:r>
            <w:r>
              <w:rPr>
                <w:shd w:val="nil" w:color="auto" w:fill="auto"/>
                <w:rtl w:val="0"/>
                <w:lang w:val="ru-RU"/>
              </w:rPr>
              <w:t xml:space="preserve"> је </w:t>
            </w:r>
            <w:r>
              <w:rPr>
                <w:shd w:val="nil" w:color="auto" w:fill="auto"/>
                <w:rtl w:val="0"/>
              </w:rPr>
              <w:t>202</w:t>
            </w:r>
            <w:r>
              <w:rPr>
                <w:shd w:val="nil" w:color="auto" w:fill="auto"/>
                <w:rtl w:val="0"/>
              </w:rPr>
              <w:t>4</w:t>
            </w:r>
            <w:r>
              <w:rPr>
                <w:shd w:val="nil" w:color="auto" w:fill="auto"/>
                <w:rtl w:val="0"/>
              </w:rPr>
              <w:t xml:space="preserve">. </w:t>
            </w:r>
            <w:r>
              <w:rPr>
                <w:shd w:val="nil" w:color="auto" w:fill="auto"/>
                <w:rtl w:val="0"/>
              </w:rPr>
              <w:t>године на истом факултету</w:t>
            </w:r>
            <w:r>
              <w:rPr>
                <w:shd w:val="nil" w:color="auto" w:fill="auto"/>
                <w:rtl w:val="0"/>
              </w:rPr>
              <w:t>.</w:t>
            </w:r>
          </w:p>
          <w:p>
            <w:pPr>
              <w:pStyle w:val="91 - Биографија"/>
            </w:pPr>
            <w:r>
              <w:rPr>
                <w:b w:val="1"/>
                <w:bCs w:val="1"/>
                <w:shd w:val="nil" w:color="auto" w:fill="auto"/>
                <w:rtl w:val="0"/>
              </w:rPr>
              <w:t>Контакт</w:t>
            </w:r>
            <w:r>
              <w:rPr>
                <w:shd w:val="nil" w:color="auto" w:fill="auto"/>
                <w:rtl w:val="0"/>
              </w:rPr>
              <w:t>:</w:t>
            </w:r>
            <w:r>
              <w:rPr>
                <w:shd w:val="nil" w:color="auto" w:fill="auto"/>
                <w:rtl w:val="0"/>
              </w:rPr>
              <w:t xml:space="preserve"> </w:t>
            </w:r>
            <w:r>
              <w:rPr>
                <w:rStyle w:val="Hyperlink.0"/>
              </w:rPr>
              <w:fldChar w:fldCharType="begin" w:fldLock="0"/>
            </w:r>
            <w:r>
              <w:rPr>
                <w:rStyle w:val="Hyperlink.0"/>
              </w:rPr>
              <w:instrText xml:space="preserve"> HYPERLINK "mailto:erdeljimarko@gmail.com"</w:instrText>
            </w:r>
            <w:r>
              <w:rPr>
                <w:rStyle w:val="Hyperlink.0"/>
              </w:rPr>
              <w:fldChar w:fldCharType="separate" w:fldLock="0"/>
            </w:r>
            <w:r>
              <w:rPr>
                <w:rStyle w:val="Hyperlink.0"/>
                <w:rtl w:val="0"/>
                <w:lang w:val="en-US"/>
              </w:rPr>
              <w:t>erdeljimarko@gmail.com</w:t>
            </w:r>
            <w:r>
              <w:rPr/>
              <w:fldChar w:fldCharType="end" w:fldLock="0"/>
            </w:r>
          </w:p>
        </w:tc>
      </w:tr>
    </w:tbl>
    <w:p>
      <w:pPr>
        <w:pStyle w:val="Лабеле (кључне речи"/>
        <w:widowControl w:val="0"/>
        <w:ind w:left="108" w:hanging="108"/>
      </w:pPr>
      <w:r/>
    </w:p>
    <w:sectPr>
      <w:type w:val="continuous"/>
      <w:pgSz w:w="11900" w:h="16840" w:orient="portrait"/>
      <w:pgMar w:top="1134" w:right="1134" w:bottom="1134" w:left="1134" w:header="708" w:footer="708"/>
      <w:cols w:space="284" w:num="2" w:equalWidth="1"/>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0" w:author="Marko Vekic" w:date="2025-10-02T18:29:00Z">
    <w:p w14:paraId="1111FFFF">
      <w:pPr>
        <w:pStyle w:val="Default"/>
        <w:bidi w:val="0"/>
      </w:pPr>
    </w:p>
    <w:p w14:paraId="11120000">
      <w:pPr>
        <w:pStyle w:val="Default"/>
        <w:bidi w:val="0"/>
      </w:pPr>
      <w:r>
        <w:rPr>
          <w:rFonts w:cs="Arial Unicode MS" w:eastAsia="Arial Unicode MS" w:hint="default"/>
          <w:rtl w:val="0"/>
        </w:rPr>
        <w:t>У датом примеру није тако</w:t>
      </w:r>
    </w:p>
  </w:comment>
</w:comment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rial Black">
    <w:charset w:val="00"/>
    <w:family w:val="roman"/>
    <w:pitch w:val="default"/>
  </w:font>
  <w:font w:name="Cambria Math">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nothing"/>
      <w:lvlText w:val="%1."/>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216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32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48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9 - Заглавље">
    <w:name w:val="9 - Заглавље"/>
    <w:next w:val="9 - Заглавље"/>
    <w:pPr>
      <w:keepNext w:val="0"/>
      <w:keepLines w:val="0"/>
      <w:pageBreakBefore w:val="0"/>
      <w:widowControl w:val="1"/>
      <w:shd w:val="clear" w:color="auto" w:fill="auto"/>
      <w:suppressAutoHyphens w:val="0"/>
      <w:bidi w:val="0"/>
      <w:spacing w:before="120" w:after="0" w:line="240" w:lineRule="auto"/>
      <w:ind w:left="0" w:right="0" w:firstLine="0"/>
      <w:jc w:val="left"/>
      <w:outlineLvl w:val="9"/>
    </w:pPr>
    <w:rPr>
      <w:rFonts w:ascii="Arial Black" w:cs="Arial Unicode MS" w:hAnsi="Arial Black" w:eastAsia="Arial Unicode MS" w:hint="default"/>
      <w:b w:val="0"/>
      <w:bCs w:val="0"/>
      <w:i w:val="0"/>
      <w:iCs w:val="0"/>
      <w:caps w:val="0"/>
      <w:smallCaps w:val="0"/>
      <w:strike w:val="0"/>
      <w:dstrike w:val="0"/>
      <w:outline w:val="0"/>
      <w:color w:val="000000"/>
      <w:spacing w:val="0"/>
      <w:kern w:val="0"/>
      <w:position w:val="0"/>
      <w:sz w:val="26"/>
      <w:szCs w:val="26"/>
      <w:u w:val="none" w:color="000000"/>
      <w:shd w:val="nil" w:color="auto" w:fill="auto"/>
      <w:vertAlign w:val="baseline"/>
      <w14:textFill>
        <w14:solidFill>
          <w14:srgbClr w14:val="000000"/>
        </w14:solidFill>
      </w14:textFill>
    </w:rPr>
  </w:style>
  <w:style w:type="paragraph" w:styleId="5 - УДК и ДОИ">
    <w:name w:val="5 - УДК и ДОИ"/>
    <w:next w:val="5 - УДК и ДОИ"/>
    <w:pPr>
      <w:keepNext w:val="0"/>
      <w:keepLines w:val="0"/>
      <w:pageBreakBefore w:val="0"/>
      <w:widowControl w:val="1"/>
      <w:shd w:val="clear" w:color="auto" w:fill="auto"/>
      <w:suppressAutoHyphens w:val="0"/>
      <w:bidi w:val="0"/>
      <w:spacing w:before="120" w:after="0" w:line="240" w:lineRule="auto"/>
      <w:ind w:left="0" w:right="0" w:firstLine="360"/>
      <w:jc w:val="righ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6 - Наслов рада">
    <w:name w:val="6 - Наслов рада"/>
    <w:next w:val="6 - Наслов рада"/>
    <w:pPr>
      <w:keepNext w:val="0"/>
      <w:keepLines w:val="0"/>
      <w:pageBreakBefore w:val="0"/>
      <w:widowControl w:val="1"/>
      <w:shd w:val="clear" w:color="auto" w:fill="auto"/>
      <w:suppressAutoHyphens w:val="0"/>
      <w:bidi w:val="0"/>
      <w:spacing w:before="120" w:after="0" w:line="240" w:lineRule="auto"/>
      <w:ind w:left="0" w:right="0" w:firstLine="360"/>
      <w:jc w:val="center"/>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4 - Autori">
    <w:name w:val="4 - Autori"/>
    <w:next w:val="4 - Autori"/>
    <w:pPr>
      <w:keepNext w:val="0"/>
      <w:keepLines w:val="0"/>
      <w:pageBreakBefore w:val="0"/>
      <w:widowControl w:val="1"/>
      <w:shd w:val="clear" w:color="auto" w:fill="auto"/>
      <w:suppressAutoHyphens w:val="0"/>
      <w:bidi w:val="0"/>
      <w:spacing w:before="240" w:after="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Fill>
        <w14:solidFill>
          <w14:srgbClr w14:val="000000"/>
        </w14:solidFill>
      </w14:textFill>
    </w:rPr>
  </w:style>
  <w:style w:type="paragraph" w:styleId="Лабеле (кључне речи">
    <w:name w:val="Лабеле (кључне речи"/>
    <w:next w:val="Лабеле (кључне речи"/>
    <w:pPr>
      <w:keepNext w:val="0"/>
      <w:keepLines w:val="0"/>
      <w:pageBreakBefore w:val="0"/>
      <w:widowControl w:val="1"/>
      <w:shd w:val="clear" w:color="auto" w:fill="auto"/>
      <w:suppressAutoHyphens w:val="0"/>
      <w:bidi w:val="0"/>
      <w:spacing w:before="120" w:after="120" w:line="240" w:lineRule="auto"/>
      <w:ind w:left="0" w:right="0" w:firstLine="36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paragraph" w:styleId="8 - Напомена">
    <w:name w:val="8 - Напомена"/>
    <w:next w:val="8 - Напомена"/>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1 - Поглавље">
    <w:name w:val="1 - Поглавље"/>
    <w:next w:val="1 - Поглавље"/>
    <w:pPr>
      <w:keepNext w:val="0"/>
      <w:keepLines w:val="0"/>
      <w:pageBreakBefore w:val="0"/>
      <w:widowControl w:val="1"/>
      <w:shd w:val="clear" w:color="auto" w:fill="auto"/>
      <w:suppressAutoHyphens w:val="0"/>
      <w:bidi w:val="0"/>
      <w:spacing w:before="240" w:after="240" w:line="240" w:lineRule="auto"/>
      <w:ind w:left="0" w:right="0" w:firstLine="0"/>
      <w:jc w:val="lef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Imported Style 1">
    <w:name w:val="Imported Style 1"/>
    <w:pPr>
      <w:numPr>
        <w:numId w:val="1"/>
      </w:numPr>
    </w:pPr>
  </w:style>
  <w:style w:type="paragraph" w:styleId="0 - Текст рада">
    <w:name w:val="0 - Текст рада"/>
    <w:next w:val="0 - Текст рада"/>
    <w:pPr>
      <w:keepNext w:val="0"/>
      <w:keepLines w:val="0"/>
      <w:pageBreakBefore w:val="0"/>
      <w:widowControl w:val="1"/>
      <w:shd w:val="clear" w:color="auto" w:fill="auto"/>
      <w:suppressAutoHyphens w:val="0"/>
      <w:bidi w:val="0"/>
      <w:spacing w:before="0" w:after="0" w:line="240" w:lineRule="auto"/>
      <w:ind w:left="0" w:right="0" w:firstLine="0"/>
      <w:jc w:val="both"/>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ru-RU"/>
      <w14:textFill>
        <w14:solidFill>
          <w14:srgbClr w14:val="000000"/>
        </w14:solidFill>
      </w14:textFill>
    </w:rPr>
  </w:style>
  <w:style w:type="paragraph" w:styleId="2 - Подпоглавље">
    <w:name w:val="2 - Подпоглавље"/>
    <w:next w:val="1 - Поглавље"/>
    <w:pPr>
      <w:keepNext w:val="0"/>
      <w:keepLines w:val="0"/>
      <w:pageBreakBefore w:val="0"/>
      <w:widowControl w:val="1"/>
      <w:shd w:val="clear" w:color="auto" w:fill="auto"/>
      <w:suppressAutoHyphens w:val="0"/>
      <w:bidi w:val="0"/>
      <w:spacing w:before="120" w:after="120" w:line="240" w:lineRule="auto"/>
      <w:ind w:left="0" w:right="0" w:firstLine="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3 - Математичке формуле">
    <w:name w:val="3 - Математичке формуле"/>
    <w:next w:val="3 - Математичке формуле"/>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Cambria Math" w:cs="Cambria Math" w:hAnsi="Cambria Math" w:eastAsia="Cambria Math"/>
      <w:b w:val="0"/>
      <w:bCs w:val="0"/>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caption">
    <w:name w:val="caption"/>
    <w:next w:val="Body"/>
    <w:pPr>
      <w:keepNext w:val="0"/>
      <w:keepLines w:val="0"/>
      <w:pageBreakBefore w:val="0"/>
      <w:widowControl w:val="1"/>
      <w:shd w:val="clear" w:color="auto" w:fill="auto"/>
      <w:suppressAutoHyphens w:val="0"/>
      <w:bidi w:val="0"/>
      <w:spacing w:before="120" w:after="120" w:line="240" w:lineRule="auto"/>
      <w:ind w:left="0" w:right="0" w:firstLine="360"/>
      <w:jc w:val="center"/>
      <w:outlineLvl w:val="9"/>
    </w:pPr>
    <w:rPr>
      <w:rFonts w:ascii="Times New Roman" w:cs="Times New Roman" w:hAnsi="Times New Roman" w:eastAsia="Times New Roman"/>
      <w:b w:val="0"/>
      <w:bCs w:val="0"/>
      <w:i w:val="0"/>
      <w:iCs w:val="0"/>
      <w:caps w:val="0"/>
      <w:smallCaps w:val="0"/>
      <w:strike w:val="0"/>
      <w:dstrike w:val="0"/>
      <w:outline w:val="0"/>
      <w:color w:val="000000"/>
      <w:spacing w:val="10"/>
      <w:kern w:val="0"/>
      <w:position w:val="0"/>
      <w:sz w:val="18"/>
      <w:szCs w:val="18"/>
      <w:u w:val="none" w:color="000000"/>
      <w:shd w:val="nil" w:color="auto" w:fill="auto"/>
      <w:vertAlign w:val="baseline"/>
      <w:lang w:val="en-US"/>
      <w14:textOutline>
        <w14:noFill/>
      </w14:textOutline>
      <w14:textFill>
        <w14:solidFill>
          <w14:srgbClr w14:val="000000"/>
        </w14:solidFill>
      </w14:textFill>
    </w:rPr>
  </w:style>
  <w:style w:type="paragraph" w:styleId="Литература">
    <w:name w:val="Литература"/>
    <w:next w:val="Литература"/>
    <w:pPr>
      <w:keepNext w:val="0"/>
      <w:keepLines w:val="0"/>
      <w:pageBreakBefore w:val="0"/>
      <w:widowControl w:val="1"/>
      <w:shd w:val="clear" w:color="auto" w:fill="auto"/>
      <w:suppressAutoHyphens w:val="0"/>
      <w:bidi w:val="0"/>
      <w:spacing w:before="120" w:after="0" w:line="240" w:lineRule="auto"/>
      <w:ind w:left="284" w:right="0" w:hanging="284"/>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pt-PT"/>
      <w14:textFill>
        <w14:solidFill>
          <w14:srgbClr w14:val="000000"/>
        </w14:solidFill>
      </w14:textFill>
    </w:rPr>
  </w:style>
  <w:style w:type="paragraph" w:styleId="91 - Биографија">
    <w:name w:val="91 - Биографија"/>
    <w:next w:val="91 - Биографија"/>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comments" Target="comments.xml"/><Relationship Id="rId10" Type="http://schemas.openxmlformats.org/officeDocument/2006/relationships/numbering" Target="numbering.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