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tbl>
      <w:tblPr>
        <w:tblW w:w="953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7"/>
        <w:gridCol w:w="8283"/>
      </w:tblGrid>
      <w:tr>
        <w:tblPrEx>
          <w:shd w:val="clear" w:color="auto" w:fill="ced7e7"/>
        </w:tblPrEx>
        <w:trPr>
          <w:trHeight w:val="779" w:hRule="atLeast"/>
        </w:trPr>
        <w:tc>
          <w:tcPr>
            <w:tcW w:type="dxa" w:w="1247"/>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Body"/>
            </w:pPr>
            <w:r>
              <w:rPr>
                <w:sz w:val="24"/>
                <w:szCs w:val="24"/>
                <w:shd w:val="nil" w:color="auto" w:fill="auto"/>
              </w:rPr>
              <w:drawing xmlns:a="http://schemas.openxmlformats.org/drawingml/2006/main">
                <wp:inline distT="0" distB="0" distL="0" distR="0">
                  <wp:extent cx="409575" cy="447675"/>
                  <wp:effectExtent l="0" t="0" r="0" b="0"/>
                  <wp:docPr id="1073741825" name="officeArt object" descr="Picture 2"/>
                  <wp:cNvGraphicFramePr/>
                  <a:graphic xmlns:a="http://schemas.openxmlformats.org/drawingml/2006/main">
                    <a:graphicData uri="http://schemas.openxmlformats.org/drawingml/2006/picture">
                      <pic:pic xmlns:pic="http://schemas.openxmlformats.org/drawingml/2006/picture">
                        <pic:nvPicPr>
                          <pic:cNvPr id="1073741825" name="Picture 2" descr="Picture 2"/>
                          <pic:cNvPicPr>
                            <a:picLocks noChangeAspect="1"/>
                          </pic:cNvPicPr>
                        </pic:nvPicPr>
                        <pic:blipFill>
                          <a:blip r:embed="rId4">
                            <a:extLst/>
                          </a:blip>
                          <a:stretch>
                            <a:fillRect/>
                          </a:stretch>
                        </pic:blipFill>
                        <pic:spPr>
                          <a:xfrm>
                            <a:off x="0" y="0"/>
                            <a:ext cx="409575" cy="447675"/>
                          </a:xfrm>
                          <a:prstGeom prst="rect">
                            <a:avLst/>
                          </a:prstGeom>
                          <a:ln w="12700" cap="flat">
                            <a:noFill/>
                            <a:miter lim="400000"/>
                          </a:ln>
                          <a:effectLst/>
                        </pic:spPr>
                      </pic:pic>
                    </a:graphicData>
                  </a:graphic>
                </wp:inline>
              </w:drawing>
            </w:r>
          </w:p>
        </w:tc>
        <w:tc>
          <w:tcPr>
            <w:tcW w:type="dxa" w:w="8283"/>
            <w:tcBorders>
              <w:top w:val="nil"/>
              <w:left w:val="nil"/>
              <w:bottom w:val="single" w:color="000000" w:sz="18" w:space="0" w:shadow="0" w:frame="0"/>
              <w:right w:val="nil"/>
            </w:tcBorders>
            <w:shd w:val="clear" w:color="auto" w:fill="auto"/>
            <w:tcMar>
              <w:top w:type="dxa" w:w="80"/>
              <w:left w:type="dxa" w:w="80"/>
              <w:bottom w:type="dxa" w:w="80"/>
              <w:right w:type="dxa" w:w="80"/>
            </w:tcMar>
            <w:vAlign w:val="center"/>
          </w:tcPr>
          <w:p>
            <w:pPr>
              <w:pStyle w:val="9 - Заглавље"/>
            </w:pPr>
            <w:r>
              <w:rPr>
                <w:shd w:val="nil" w:color="auto" w:fill="auto"/>
                <w:rtl w:val="0"/>
              </w:rPr>
              <w:t>Зборник радова Факултета техничких наука</w:t>
            </w:r>
            <w:r>
              <w:rPr>
                <w:shd w:val="nil" w:color="auto" w:fill="auto"/>
                <w:rtl w:val="0"/>
              </w:rPr>
              <w:t xml:space="preserve">, </w:t>
            </w:r>
            <w:r>
              <w:rPr>
                <w:shd w:val="nil" w:color="auto" w:fill="auto"/>
                <w:rtl w:val="0"/>
                <w:lang w:val="ru-RU"/>
              </w:rPr>
              <w:t>НовиСад</w:t>
            </w:r>
          </w:p>
        </w:tc>
      </w:tr>
    </w:tbl>
    <w:p>
      <w:pPr>
        <w:pStyle w:val="Body"/>
        <w:widowControl w:val="0"/>
        <w:ind w:left="108" w:hanging="108"/>
      </w:pPr>
    </w:p>
    <w:p>
      <w:pPr>
        <w:pStyle w:val="5 - УДК и ДОИ"/>
      </w:pPr>
      <w:r>
        <w:rPr>
          <w:rtl w:val="0"/>
          <w:lang w:val="en-US"/>
        </w:rPr>
        <w:t>УДК</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5 - УДК и ДОИ"/>
      </w:pPr>
      <w:r>
        <w:rPr>
          <w:rtl w:val="0"/>
          <w:lang w:val="en-US"/>
        </w:rPr>
        <w:t>ДОИ</w:t>
      </w:r>
      <w:r>
        <w:rPr>
          <w:rtl w:val="0"/>
          <w:lang w:val="en-US"/>
        </w:rPr>
        <w:t>: (</w:t>
      </w:r>
      <w:r>
        <w:rPr>
          <w:rtl w:val="0"/>
          <w:lang w:val="en-US"/>
        </w:rPr>
        <w:t>Уписује редакција</w:t>
      </w:r>
      <w:r>
        <w:rPr>
          <w:rtl w:val="0"/>
          <w:lang w:val="en-US"/>
        </w:rPr>
        <w:t xml:space="preserve">, </w:t>
      </w:r>
      <w:r>
        <w:rPr>
          <w:rtl w:val="0"/>
          <w:lang w:val="en-US"/>
        </w:rPr>
        <w:t>оставити овај ред</w:t>
      </w:r>
      <w:r>
        <w:rPr>
          <w:rtl w:val="0"/>
          <w:lang w:val="en-US"/>
        </w:rPr>
        <w:t>)</w:t>
      </w:r>
    </w:p>
    <w:p>
      <w:pPr>
        <w:pStyle w:val="Body"/>
        <w:jc w:val="center"/>
        <w:rPr>
          <w:sz w:val="12"/>
          <w:szCs w:val="12"/>
        </w:rPr>
      </w:pPr>
    </w:p>
    <w:p>
      <w:pPr>
        <w:pStyle w:val="6 - Наслов рада"/>
      </w:pPr>
      <w:r>
        <w:rPr>
          <w:rtl w:val="0"/>
        </w:rPr>
        <w:t xml:space="preserve">Аутономна експлоатација рањивости контејнерске изолације применом </w:t>
      </w:r>
      <w:r>
        <w:rPr>
          <w:rtl w:val="0"/>
          <w:lang w:val="da-DK"/>
        </w:rPr>
        <w:t xml:space="preserve">LLM </w:t>
      </w:r>
      <w:r>
        <w:rPr>
          <w:rtl w:val="0"/>
        </w:rPr>
        <w:t>агената</w:t>
      </w:r>
    </w:p>
    <w:p>
      <w:pPr>
        <w:pStyle w:val="Body"/>
        <w:jc w:val="center"/>
        <w:rPr>
          <w:sz w:val="12"/>
          <w:szCs w:val="12"/>
        </w:rPr>
      </w:pPr>
    </w:p>
    <w:p>
      <w:pPr>
        <w:pStyle w:val="6 - Наслов рада"/>
        <w:rPr>
          <w:i w:val="1"/>
          <w:iCs w:val="1"/>
        </w:rPr>
      </w:pPr>
      <w:r>
        <w:rPr>
          <w:i w:val="1"/>
          <w:iCs w:val="1"/>
          <w:rtl w:val="0"/>
          <w:lang w:val="en-US"/>
        </w:rPr>
        <w:t>Autonomous Exploitation of Container Isolation Vulnerabilities Using LLM Agents</w:t>
      </w:r>
    </w:p>
    <w:p>
      <w:pPr>
        <w:pStyle w:val="4 - Autori"/>
        <w:spacing w:before="120"/>
        <w:rPr>
          <w:b w:val="1"/>
          <w:bCs w:val="1"/>
          <w:i w:val="1"/>
          <w:iCs w:val="1"/>
        </w:rPr>
      </w:pPr>
      <w:r>
        <w:rPr>
          <w:rtl w:val="0"/>
        </w:rPr>
        <w:t>Марко Ердељи</w:t>
      </w:r>
      <w:r>
        <w:rPr>
          <w:rtl w:val="0"/>
        </w:rPr>
        <w:t>,</w:t>
      </w:r>
      <w:r>
        <w:rPr>
          <w:rtl w:val="0"/>
        </w:rPr>
        <w:t xml:space="preserve"> </w:t>
      </w:r>
      <w:r>
        <w:rPr>
          <w:i w:val="1"/>
          <w:iCs w:val="1"/>
          <w:rtl w:val="0"/>
        </w:rPr>
        <w:t>Факултет техничких наука</w:t>
      </w:r>
      <w:r>
        <w:rPr>
          <w:i w:val="1"/>
          <w:iCs w:val="1"/>
          <w:rtl w:val="0"/>
        </w:rPr>
        <w:t xml:space="preserve">, </w:t>
      </w:r>
      <w:r>
        <w:rPr>
          <w:i w:val="1"/>
          <w:iCs w:val="1"/>
          <w:rtl w:val="0"/>
          <w:lang w:val="ru-RU"/>
        </w:rPr>
        <w:t>Нови Сад</w:t>
      </w:r>
    </w:p>
    <w:p>
      <w:pPr>
        <w:pStyle w:val="Body"/>
        <w:rPr>
          <w:i w:val="1"/>
          <w:iCs w:val="1"/>
          <w:sz w:val="12"/>
          <w:szCs w:val="12"/>
        </w:rPr>
      </w:pPr>
    </w:p>
    <w:p>
      <w:pPr>
        <w:pStyle w:val="Body"/>
        <w:sectPr>
          <w:headerReference w:type="default" r:id="rId5"/>
          <w:footerReference w:type="default" r:id="rId6"/>
          <w:pgSz w:w="11900" w:h="16840" w:orient="portrait"/>
          <w:pgMar w:top="1134" w:right="1134" w:bottom="1134" w:left="1134" w:header="708" w:footer="708"/>
          <w:bidi w:val="0"/>
        </w:sectPr>
      </w:pPr>
      <w:r/>
    </w:p>
    <w:p>
      <w:pPr>
        <w:pStyle w:val="Лабеле (кључне речи"/>
      </w:pPr>
      <w:r>
        <w:rPr>
          <w:rtl w:val="0"/>
        </w:rPr>
        <w:t>Студијски програм – СОФТВЕРСКО ИНЖЕЊЕРСТВО И ИНФОРМАЦИОНЕ ТЕХНОЛОГИЈЕ</w:t>
      </w:r>
    </w:p>
    <w:p>
      <w:pPr>
        <w:pStyle w:val="Body"/>
        <w:ind w:firstLine="0"/>
        <w:rPr>
          <w:i w:val="1"/>
          <w:iCs w:val="1"/>
        </w:rPr>
      </w:pPr>
      <w:r>
        <w:rPr>
          <w:b w:val="1"/>
          <w:bCs w:val="1"/>
          <w:rtl w:val="0"/>
          <w:lang w:val="ru-RU"/>
        </w:rPr>
        <w:t xml:space="preserve">Кратак садржај – </w:t>
      </w:r>
      <w:r>
        <w:rPr>
          <w:i w:val="1"/>
          <w:iCs w:val="1"/>
          <w:rtl w:val="0"/>
        </w:rPr>
        <w:t>У овом раду испитана је способност аутономних агената заснованих на великим језичким моделима да аутономно наруше изолацију контејнера и издвоје тајни податак из меморије процеса жртве</w:t>
      </w:r>
      <w:r>
        <w:rPr>
          <w:i w:val="1"/>
          <w:iCs w:val="1"/>
          <w:rtl w:val="0"/>
        </w:rPr>
        <w:t xml:space="preserve">. </w:t>
      </w:r>
      <w:r>
        <w:rPr>
          <w:i w:val="1"/>
          <w:iCs w:val="1"/>
          <w:rtl w:val="0"/>
        </w:rPr>
        <w:t>Развијен је евалуациони оквир са три лабораторијска сценарија растуће сложености</w:t>
      </w:r>
      <w:r>
        <w:rPr>
          <w:i w:val="1"/>
          <w:iCs w:val="1"/>
          <w:rtl w:val="0"/>
        </w:rPr>
        <w:t xml:space="preserve">, </w:t>
      </w:r>
      <w:r>
        <w:rPr>
          <w:i w:val="1"/>
          <w:iCs w:val="1"/>
          <w:rtl w:val="0"/>
        </w:rPr>
        <w:t>а евалуација је спроведена на моделима различитих нивоа способности</w:t>
      </w:r>
      <w:r>
        <w:rPr>
          <w:i w:val="1"/>
          <w:iCs w:val="1"/>
          <w:rtl w:val="0"/>
        </w:rPr>
        <w:t xml:space="preserve">. </w:t>
      </w:r>
      <w:r>
        <w:rPr>
          <w:i w:val="1"/>
          <w:iCs w:val="1"/>
          <w:rtl w:val="0"/>
          <w:lang w:val="ru-RU"/>
        </w:rPr>
        <w:t>Резултати показују да савремени агенти представљају практично оствариву претњу контејнерској изолацији</w:t>
      </w:r>
      <w:r>
        <w:rPr>
          <w:i w:val="1"/>
          <w:iCs w:val="1"/>
          <w:rtl w:val="0"/>
        </w:rPr>
        <w:t>.</w:t>
      </w:r>
    </w:p>
    <w:p>
      <w:pPr>
        <w:pStyle w:val="Лабеле (кључне речи"/>
        <w:rPr>
          <w:b w:val="0"/>
          <w:bCs w:val="0"/>
          <w:i w:val="1"/>
          <w:iCs w:val="1"/>
        </w:rPr>
      </w:pPr>
      <w:r>
        <w:rPr>
          <w:rtl w:val="0"/>
          <w:lang w:val="ru-RU"/>
        </w:rPr>
        <w:t>Кључне речи</w:t>
      </w:r>
      <w:r>
        <w:rPr>
          <w:rtl w:val="0"/>
        </w:rPr>
        <w:t xml:space="preserve">: </w:t>
      </w:r>
      <w:r>
        <w:rPr>
          <w:b w:val="0"/>
          <w:bCs w:val="0"/>
          <w:i w:val="1"/>
          <w:iCs w:val="1"/>
          <w:rtl w:val="0"/>
          <w:lang w:val="da-DK"/>
        </w:rPr>
        <w:t xml:space="preserve">LLM </w:t>
      </w:r>
      <w:r>
        <w:rPr>
          <w:b w:val="0"/>
          <w:bCs w:val="0"/>
          <w:i w:val="1"/>
          <w:iCs w:val="1"/>
          <w:rtl w:val="0"/>
        </w:rPr>
        <w:t>агенти</w:t>
      </w:r>
      <w:r>
        <w:rPr>
          <w:b w:val="0"/>
          <w:bCs w:val="0"/>
          <w:i w:val="1"/>
          <w:iCs w:val="1"/>
          <w:rtl w:val="0"/>
        </w:rPr>
        <w:t xml:space="preserve">, </w:t>
      </w:r>
      <w:r>
        <w:rPr>
          <w:b w:val="0"/>
          <w:bCs w:val="0"/>
          <w:i w:val="1"/>
          <w:iCs w:val="1"/>
          <w:rtl w:val="0"/>
        </w:rPr>
        <w:t>контејнерска безбедност</w:t>
      </w:r>
      <w:r>
        <w:rPr>
          <w:b w:val="0"/>
          <w:bCs w:val="0"/>
          <w:i w:val="1"/>
          <w:iCs w:val="1"/>
          <w:rtl w:val="0"/>
        </w:rPr>
        <w:t xml:space="preserve">, </w:t>
      </w:r>
      <w:r>
        <w:rPr>
          <w:b w:val="0"/>
          <w:bCs w:val="0"/>
          <w:i w:val="1"/>
          <w:iCs w:val="1"/>
          <w:rtl w:val="0"/>
        </w:rPr>
        <w:t>експлоатација рањивости</w:t>
      </w:r>
      <w:r>
        <w:rPr>
          <w:b w:val="0"/>
          <w:bCs w:val="0"/>
          <w:i w:val="1"/>
          <w:iCs w:val="1"/>
          <w:rtl w:val="0"/>
        </w:rPr>
        <w:t xml:space="preserve">, </w:t>
      </w:r>
      <w:r>
        <w:rPr>
          <w:b w:val="0"/>
          <w:bCs w:val="0"/>
          <w:i w:val="1"/>
          <w:iCs w:val="1"/>
          <w:rtl w:val="0"/>
          <w:lang w:val="ru-RU"/>
        </w:rPr>
        <w:t>аутономни агенти</w:t>
      </w:r>
      <w:r>
        <w:rPr>
          <w:b w:val="0"/>
          <w:bCs w:val="0"/>
          <w:i w:val="1"/>
          <w:iCs w:val="1"/>
          <w:rtl w:val="0"/>
          <w:lang w:val="de-DE"/>
        </w:rPr>
        <w:t>, Docker</w:t>
      </w:r>
    </w:p>
    <w:p>
      <w:pPr>
        <w:pStyle w:val="Body"/>
        <w:ind w:firstLine="0"/>
        <w:rPr>
          <w:i w:val="1"/>
          <w:iCs w:val="1"/>
        </w:rPr>
      </w:pPr>
      <w:r>
        <w:rPr>
          <w:b w:val="1"/>
          <w:bCs w:val="1"/>
          <w:rtl w:val="0"/>
          <w:lang w:val="fr-FR"/>
        </w:rPr>
        <w:t xml:space="preserve">Abstract </w:t>
      </w:r>
      <w:r>
        <w:rPr>
          <w:rtl w:val="0"/>
        </w:rPr>
        <w:t xml:space="preserve">– </w:t>
      </w:r>
      <w:r>
        <w:rPr>
          <w:i w:val="1"/>
          <w:iCs w:val="1"/>
          <w:rtl w:val="0"/>
          <w:lang w:val="en-US"/>
        </w:rPr>
        <w:t>This thesis examines the ability of autonomous agents based on large language models to autonomously escape container isolation and extract a secret from the memory of a victim process. An evaluation framework with three laboratory scenarios of increasing complexity was developed, and the evaluation was conducted on models of varying capability levels. The results show that contemporary agents pose a practically viable threat to container isolation.</w:t>
      </w:r>
    </w:p>
    <w:p>
      <w:pPr>
        <w:pStyle w:val="Body"/>
        <w:ind w:firstLine="0"/>
        <w:rPr>
          <w:i w:val="1"/>
          <w:iCs w:val="1"/>
        </w:rPr>
      </w:pPr>
      <w:r>
        <w:rPr>
          <w:b w:val="1"/>
          <w:bCs w:val="1"/>
          <w:rtl w:val="0"/>
          <w:lang w:val="en-US"/>
        </w:rPr>
        <w:t>Keywords:</w:t>
      </w:r>
      <w:r>
        <w:rPr>
          <w:i w:val="1"/>
          <w:iCs w:val="1"/>
          <w:rtl w:val="0"/>
          <w:lang w:val="en-US"/>
        </w:rPr>
        <w:t xml:space="preserve"> LLM agents, container security, vulnerability exploitation, autonomous agents, Docker</w:t>
      </w:r>
    </w:p>
    <w:p>
      <w:pPr>
        <w:pStyle w:val="8 - Напомена"/>
      </w:pPr>
      <w:r>
        <w:rPr>
          <w:rtl w:val="0"/>
          <w:lang w:val="en-US"/>
        </w:rPr>
        <w:t>__________________________________________</w:t>
      </w:r>
    </w:p>
    <w:p>
      <w:pPr>
        <w:pStyle w:val="8 - Напомена"/>
      </w:pPr>
      <w:r>
        <w:rPr>
          <w:b w:val="1"/>
          <w:bCs w:val="1"/>
          <w:rtl w:val="0"/>
        </w:rPr>
        <w:t>НАПОМЕНА</w:t>
      </w:r>
      <w:r>
        <w:rPr>
          <w:b w:val="1"/>
          <w:bCs w:val="1"/>
          <w:rtl w:val="0"/>
        </w:rPr>
        <w:t xml:space="preserve">: </w:t>
      </w:r>
      <w:r>
        <w:rPr>
          <w:b w:val="1"/>
          <w:bCs w:val="1"/>
          <w:rtl w:val="0"/>
        </w:rPr>
        <w:t>Овај рад проистекао је из мастер рада чији ментор је био др Горан Сладић</w:t>
      </w:r>
      <w:r>
        <w:rPr>
          <w:b w:val="1"/>
          <w:bCs w:val="1"/>
          <w:rtl w:val="0"/>
        </w:rPr>
        <w:t xml:space="preserve">, </w:t>
      </w:r>
      <w:r>
        <w:rPr>
          <w:b w:val="1"/>
          <w:bCs w:val="1"/>
          <w:rtl w:val="0"/>
        </w:rPr>
        <w:t>ред</w:t>
      </w:r>
      <w:r>
        <w:rPr>
          <w:b w:val="1"/>
          <w:bCs w:val="1"/>
          <w:rtl w:val="0"/>
        </w:rPr>
        <w:t xml:space="preserve">. </w:t>
      </w:r>
      <w:r>
        <w:rPr>
          <w:b w:val="1"/>
          <w:bCs w:val="1"/>
          <w:rtl w:val="0"/>
        </w:rPr>
        <w:t>проф</w:t>
      </w:r>
      <w:r>
        <w:rPr>
          <w:b w:val="1"/>
          <w:bCs w:val="1"/>
          <w:rtl w:val="0"/>
        </w:rPr>
        <w:t>.</w:t>
      </w:r>
    </w:p>
    <w:p>
      <w:pPr>
        <w:pStyle w:val="1 - Поглавље"/>
        <w:numPr>
          <w:ilvl w:val="0"/>
          <w:numId w:val="2"/>
        </w:numPr>
      </w:pPr>
      <w:r>
        <w:rPr>
          <w:rtl w:val="0"/>
        </w:rPr>
        <w:t>УВОД</w:t>
      </w:r>
    </w:p>
    <w:p>
      <w:pPr>
        <w:pStyle w:val="0 - Текст рада"/>
      </w:pPr>
      <w:r>
        <w:rPr>
          <w:rtl w:val="0"/>
          <w:lang w:val="ru-RU"/>
        </w:rPr>
        <w:t>Контејнерске технологије постале су стандардни начин паковања и испоруке софтвера у индустрији</w:t>
      </w:r>
      <w:r>
        <w:rPr>
          <w:rtl w:val="0"/>
        </w:rPr>
        <w:t xml:space="preserve">. </w:t>
      </w:r>
      <w:r>
        <w:rPr>
          <w:rtl w:val="0"/>
        </w:rPr>
        <w:t xml:space="preserve">Платформа </w:t>
      </w:r>
      <w:r>
        <w:rPr>
          <w:rtl w:val="0"/>
          <w:lang w:val="de-DE"/>
        </w:rPr>
        <w:t xml:space="preserve">Docker, </w:t>
      </w:r>
      <w:r>
        <w:rPr>
          <w:rtl w:val="0"/>
        </w:rPr>
        <w:t xml:space="preserve">представљена </w:t>
      </w:r>
      <w:r>
        <w:rPr>
          <w:rtl w:val="0"/>
        </w:rPr>
        <w:t xml:space="preserve">2013. </w:t>
      </w:r>
      <w:r>
        <w:rPr>
          <w:rtl w:val="0"/>
        </w:rPr>
        <w:t>године</w:t>
      </w:r>
      <w:r>
        <w:rPr>
          <w:rtl w:val="0"/>
        </w:rPr>
        <w:t xml:space="preserve">, </w:t>
      </w:r>
      <w:r>
        <w:rPr>
          <w:rtl w:val="0"/>
        </w:rPr>
        <w:t xml:space="preserve">значајно је допринела овој примени стандардизацијом формата контејнерских слика и алата за рад са њима </w:t>
      </w:r>
      <w:r>
        <w:rPr>
          <w:rtl w:val="0"/>
          <w:lang w:val="pt-PT"/>
        </w:rPr>
        <w:t xml:space="preserve">[1]. </w:t>
      </w:r>
      <w:r>
        <w:rPr>
          <w:rtl w:val="0"/>
        </w:rPr>
        <w:t>Данас се контејнери широко користе у продукционим окружењима</w:t>
      </w:r>
      <w:r>
        <w:rPr>
          <w:rtl w:val="0"/>
        </w:rPr>
        <w:t xml:space="preserve">, </w:t>
      </w:r>
      <w:r>
        <w:rPr>
          <w:rtl w:val="0"/>
        </w:rPr>
        <w:t>од микросервисних архитектура до платформи у облаку</w:t>
      </w:r>
      <w:r>
        <w:rPr>
          <w:rtl w:val="0"/>
        </w:rPr>
        <w:t xml:space="preserve">, </w:t>
      </w:r>
      <w:r>
        <w:rPr>
          <w:rtl w:val="0"/>
          <w:lang w:val="ru-RU"/>
        </w:rPr>
        <w:t>где корисници деле исту физичку инфраструктуру</w:t>
      </w:r>
      <w:r>
        <w:rPr>
          <w:rtl w:val="0"/>
        </w:rPr>
        <w:t xml:space="preserve">. </w:t>
      </w:r>
      <w:r>
        <w:rPr>
          <w:rtl w:val="0"/>
        </w:rPr>
        <w:t xml:space="preserve">Изолација контејнера ослања се на механизме </w:t>
      </w:r>
      <w:r>
        <w:rPr>
          <w:rtl w:val="0"/>
          <w:lang w:val="fr-FR"/>
        </w:rPr>
        <w:t xml:space="preserve">Linux </w:t>
      </w:r>
      <w:r>
        <w:rPr>
          <w:rtl w:val="0"/>
        </w:rPr>
        <w:t>језгра</w:t>
      </w:r>
      <w:r>
        <w:rPr>
          <w:rtl w:val="0"/>
        </w:rPr>
        <w:t xml:space="preserve">, </w:t>
      </w:r>
      <w:r>
        <w:rPr>
          <w:rtl w:val="0"/>
        </w:rPr>
        <w:t xml:space="preserve">а истраживања су показала да ова изолација може бити нарушена </w:t>
      </w:r>
      <w:r>
        <w:rPr>
          <w:rtl w:val="0"/>
          <w:lang w:val="pt-PT"/>
        </w:rPr>
        <w:t>[2</w:t>
      </w:r>
      <w:r>
        <w:rPr>
          <w:rtl w:val="0"/>
          <w:lang w:val="en-US"/>
        </w:rPr>
        <w:t xml:space="preserve">, </w:t>
      </w:r>
      <w:r>
        <w:rPr>
          <w:rtl w:val="0"/>
          <w:lang w:val="pt-PT"/>
        </w:rPr>
        <w:t xml:space="preserve">3]. Reeves </w:t>
      </w:r>
      <w:r>
        <w:rPr>
          <w:rtl w:val="0"/>
          <w:lang w:val="ru-RU"/>
        </w:rPr>
        <w:t xml:space="preserve">и сарадници анализирали су </w:t>
      </w:r>
      <w:r>
        <w:rPr>
          <w:rtl w:val="0"/>
        </w:rPr>
        <w:t xml:space="preserve">59 </w:t>
      </w:r>
      <w:r>
        <w:rPr>
          <w:rtl w:val="0"/>
        </w:rPr>
        <w:t xml:space="preserve">записа у бази јавно познатих рањивости </w:t>
      </w:r>
      <w:r>
        <w:rPr>
          <w:rtl w:val="0"/>
        </w:rPr>
        <w:t xml:space="preserve">(CVE) </w:t>
      </w:r>
      <w:r>
        <w:rPr>
          <w:rtl w:val="0"/>
        </w:rPr>
        <w:t xml:space="preserve">за </w:t>
      </w:r>
      <w:r>
        <w:rPr>
          <w:rtl w:val="0"/>
        </w:rPr>
        <w:t xml:space="preserve">11 </w:t>
      </w:r>
      <w:r>
        <w:rPr>
          <w:rtl w:val="0"/>
        </w:rPr>
        <w:t>извршних окружења контејнера и идентификовали три основна извора рањивости</w:t>
      </w:r>
      <w:r>
        <w:rPr>
          <w:rtl w:val="0"/>
        </w:rPr>
        <w:t xml:space="preserve">: </w:t>
      </w:r>
      <w:r>
        <w:rPr>
          <w:rtl w:val="0"/>
          <w:lang w:val="ru-RU"/>
        </w:rPr>
        <w:t>погрешну конфигурацију контејнера</w:t>
      </w:r>
      <w:r>
        <w:rPr>
          <w:rtl w:val="0"/>
        </w:rPr>
        <w:t xml:space="preserve">, </w:t>
      </w:r>
      <w:r>
        <w:rPr>
          <w:rtl w:val="0"/>
        </w:rPr>
        <w:t xml:space="preserve">рањивости извршног окружења контејнера </w:t>
      </w:r>
      <w:r>
        <w:rPr>
          <w:rtl w:val="0"/>
        </w:rPr>
        <w:t>(</w:t>
      </w:r>
      <w:r>
        <w:rPr>
          <w:rtl w:val="0"/>
        </w:rPr>
        <w:t>енгл</w:t>
      </w:r>
      <w:r>
        <w:rPr>
          <w:rtl w:val="0"/>
        </w:rPr>
        <w:t xml:space="preserve">. </w:t>
      </w:r>
      <w:r>
        <w:rPr>
          <w:i w:val="1"/>
          <w:iCs w:val="1"/>
          <w:rtl w:val="0"/>
          <w:lang w:val="en-US"/>
        </w:rPr>
        <w:t>container runtime</w:t>
      </w:r>
      <w:r>
        <w:rPr>
          <w:rtl w:val="0"/>
        </w:rPr>
        <w:t xml:space="preserve">) </w:t>
      </w:r>
      <w:r>
        <w:rPr>
          <w:rtl w:val="0"/>
        </w:rPr>
        <w:t xml:space="preserve">и рањивости </w:t>
      </w:r>
      <w:r>
        <w:rPr>
          <w:rtl w:val="0"/>
          <w:lang w:val="fr-FR"/>
        </w:rPr>
        <w:t xml:space="preserve">Linux </w:t>
      </w:r>
      <w:r>
        <w:rPr>
          <w:rtl w:val="0"/>
        </w:rPr>
        <w:t xml:space="preserve">језгра </w:t>
      </w:r>
      <w:r>
        <w:rPr>
          <w:rtl w:val="0"/>
          <w:lang w:val="pt-PT"/>
        </w:rPr>
        <w:t>[3].</w:t>
      </w:r>
    </w:p>
    <w:p>
      <w:pPr>
        <w:pStyle w:val="0 - Текст рада"/>
      </w:pPr>
    </w:p>
    <w:p>
      <w:pPr>
        <w:pStyle w:val="0 - Текст рада"/>
      </w:pPr>
      <w:r>
        <w:rPr>
          <w:rtl w:val="0"/>
          <w:lang w:val="ru-RU"/>
        </w:rPr>
        <w:t xml:space="preserve">Велики језички модели </w:t>
      </w:r>
      <w:r>
        <w:rPr>
          <w:rtl w:val="0"/>
        </w:rPr>
        <w:t>(</w:t>
      </w:r>
      <w:r>
        <w:rPr>
          <w:rtl w:val="0"/>
        </w:rPr>
        <w:t>енгл</w:t>
      </w:r>
      <w:r>
        <w:rPr>
          <w:rtl w:val="0"/>
          <w:lang w:val="en-US"/>
        </w:rPr>
        <w:t xml:space="preserve">. Large Language Models, LLM) </w:t>
      </w:r>
      <w:r>
        <w:rPr>
          <w:rtl w:val="0"/>
          <w:lang w:val="ru-RU"/>
        </w:rPr>
        <w:t>достигли су ниво који омогућава њихову употребу у аутономним агентима</w:t>
      </w:r>
      <w:r>
        <w:rPr>
          <w:rtl w:val="0"/>
        </w:rPr>
        <w:t xml:space="preserve">. </w:t>
      </w:r>
      <w:r>
        <w:rPr>
          <w:rtl w:val="0"/>
          <w:lang w:val="ru-RU"/>
        </w:rPr>
        <w:t>Ови агенти могу да расуђују</w:t>
      </w:r>
      <w:r>
        <w:rPr>
          <w:rtl w:val="0"/>
        </w:rPr>
        <w:t xml:space="preserve">, </w:t>
      </w:r>
      <w:r>
        <w:rPr>
          <w:rtl w:val="0"/>
          <w:lang w:val="ru-RU"/>
        </w:rPr>
        <w:t xml:space="preserve">планирају и извршавају акције путем алата </w:t>
      </w:r>
      <w:r>
        <w:rPr>
          <w:rtl w:val="0"/>
          <w:lang w:val="pt-PT"/>
        </w:rPr>
        <w:t>[4</w:t>
      </w:r>
      <w:r>
        <w:rPr>
          <w:rtl w:val="0"/>
          <w:lang w:val="en-US"/>
        </w:rPr>
        <w:t xml:space="preserve">, </w:t>
      </w:r>
      <w:r>
        <w:rPr>
          <w:rtl w:val="0"/>
          <w:lang w:val="pt-PT"/>
        </w:rPr>
        <w:t xml:space="preserve">5]. </w:t>
      </w:r>
      <w:r>
        <w:rPr>
          <w:rtl w:val="0"/>
        </w:rPr>
        <w:t xml:space="preserve">Недавна истраживања показала су да </w:t>
      </w:r>
      <w:r>
        <w:rPr>
          <w:rtl w:val="0"/>
          <w:lang w:val="da-DK"/>
        </w:rPr>
        <w:t xml:space="preserve">LLM </w:t>
      </w:r>
      <w:r>
        <w:rPr>
          <w:rtl w:val="0"/>
          <w:lang w:val="ru-RU"/>
        </w:rPr>
        <w:t>агенти могу аутономно да идентификују и експлоатишу рањивости веб</w:t>
      </w:r>
      <w:r>
        <w:rPr>
          <w:rtl w:val="0"/>
        </w:rPr>
        <w:t>-</w:t>
      </w:r>
      <w:r>
        <w:rPr>
          <w:rtl w:val="0"/>
        </w:rPr>
        <w:t xml:space="preserve">апликација </w:t>
      </w:r>
      <w:r>
        <w:rPr>
          <w:rtl w:val="0"/>
          <w:lang w:val="pt-PT"/>
        </w:rPr>
        <w:t xml:space="preserve">[6], </w:t>
      </w:r>
      <w:r>
        <w:rPr>
          <w:rtl w:val="0"/>
        </w:rPr>
        <w:t xml:space="preserve">а тимови агената могу да експлоатишу претходно непознате рањивости нултог дана </w:t>
      </w:r>
      <w:r>
        <w:rPr>
          <w:rtl w:val="0"/>
        </w:rPr>
        <w:t>(</w:t>
      </w:r>
      <w:r>
        <w:rPr>
          <w:rtl w:val="0"/>
        </w:rPr>
        <w:t>енгл</w:t>
      </w:r>
      <w:r>
        <w:rPr>
          <w:rtl w:val="0"/>
        </w:rPr>
        <w:t xml:space="preserve">. </w:t>
      </w:r>
      <w:r>
        <w:rPr>
          <w:i w:val="1"/>
          <w:iCs w:val="1"/>
          <w:rtl w:val="0"/>
          <w:lang w:val="en-US"/>
        </w:rPr>
        <w:t>zero-day vulnerabilities</w:t>
      </w:r>
      <w:r>
        <w:rPr>
          <w:rtl w:val="0"/>
        </w:rPr>
        <w:t xml:space="preserve">) </w:t>
      </w:r>
      <w:r>
        <w:rPr>
          <w:rtl w:val="0"/>
          <w:lang w:val="ru-RU"/>
        </w:rPr>
        <w:t>у веб</w:t>
      </w:r>
      <w:r>
        <w:rPr>
          <w:rtl w:val="0"/>
        </w:rPr>
        <w:t>-</w:t>
      </w:r>
      <w:r>
        <w:rPr>
          <w:rtl w:val="0"/>
        </w:rPr>
        <w:t xml:space="preserve">апликацијама </w:t>
      </w:r>
      <w:r>
        <w:rPr>
          <w:rtl w:val="0"/>
          <w:lang w:val="pt-PT"/>
        </w:rPr>
        <w:t xml:space="preserve">[7]. </w:t>
      </w:r>
      <w:r>
        <w:rPr>
          <w:rtl w:val="0"/>
        </w:rPr>
        <w:t>За разлику од експлоатације веб апликација</w:t>
      </w:r>
      <w:r>
        <w:rPr>
          <w:rtl w:val="0"/>
        </w:rPr>
        <w:t xml:space="preserve">, </w:t>
      </w:r>
      <w:r>
        <w:rPr>
          <w:rtl w:val="0"/>
        </w:rPr>
        <w:t>која се одвија на апликативном нивоу</w:t>
      </w:r>
      <w:r>
        <w:rPr>
          <w:rtl w:val="0"/>
        </w:rPr>
        <w:t xml:space="preserve">, </w:t>
      </w:r>
      <w:r>
        <w:rPr>
          <w:rtl w:val="0"/>
        </w:rPr>
        <w:t>нарушавање контејнерске изолације захтева дубље знање о механизмима оперативног система</w:t>
      </w:r>
      <w:r>
        <w:rPr>
          <w:rtl w:val="0"/>
        </w:rPr>
        <w:t xml:space="preserve">. </w:t>
      </w:r>
      <w:r>
        <w:rPr>
          <w:rtl w:val="0"/>
          <w:lang w:val="ru-RU"/>
        </w:rPr>
        <w:t>Истовремено</w:t>
      </w:r>
      <w:r>
        <w:rPr>
          <w:rtl w:val="0"/>
          <w:lang w:val="da-DK"/>
        </w:rPr>
        <w:t xml:space="preserve">, LLM </w:t>
      </w:r>
      <w:r>
        <w:rPr>
          <w:rtl w:val="0"/>
          <w:lang w:val="ru-RU"/>
        </w:rPr>
        <w:t>агенти се све чешће извршавају у контејнеризованим окружењима</w:t>
      </w:r>
      <w:r>
        <w:rPr>
          <w:rtl w:val="0"/>
        </w:rPr>
        <w:t xml:space="preserve">, </w:t>
      </w:r>
      <w:r>
        <w:rPr>
          <w:rtl w:val="0"/>
        </w:rPr>
        <w:t>па питање да ли агент може аутономно да наруши ту изолацију постаје директно релевантно и за безбедност самих система вештачке интелигенције</w:t>
      </w:r>
      <w:r>
        <w:rPr>
          <w:rtl w:val="0"/>
        </w:rPr>
        <w:t>.</w:t>
      </w:r>
    </w:p>
    <w:p>
      <w:pPr>
        <w:pStyle w:val="0 - Текст рада"/>
      </w:pPr>
    </w:p>
    <w:p>
      <w:pPr>
        <w:pStyle w:val="0 - Текст рада"/>
      </w:pPr>
      <w:r>
        <w:rPr>
          <w:rtl w:val="0"/>
        </w:rPr>
        <w:t>У овом раду развијен је евалуациони оквир са три лабораторијска сценарија растуће сложености</w:t>
      </w:r>
      <w:r>
        <w:rPr>
          <w:rtl w:val="0"/>
        </w:rPr>
        <w:t xml:space="preserve">, </w:t>
      </w:r>
      <w:r>
        <w:rPr>
          <w:rtl w:val="0"/>
          <w:lang w:val="ru-RU"/>
        </w:rPr>
        <w:t xml:space="preserve">по један за сваку категорију из таксономије </w:t>
      </w:r>
      <w:r>
        <w:rPr>
          <w:rtl w:val="0"/>
          <w:lang w:val="nl-NL"/>
        </w:rPr>
        <w:t>Reeves-</w:t>
      </w:r>
      <w:r>
        <w:rPr>
          <w:rtl w:val="0"/>
        </w:rPr>
        <w:t>а и сарадника</w:t>
      </w:r>
      <w:r>
        <w:rPr>
          <w:rtl w:val="0"/>
        </w:rPr>
        <w:t xml:space="preserve">. </w:t>
      </w:r>
      <w:r>
        <w:rPr>
          <w:rtl w:val="0"/>
          <w:lang w:val="ru-RU"/>
        </w:rPr>
        <w:t xml:space="preserve">Рад испитује способности савремених </w:t>
      </w:r>
      <w:r>
        <w:rPr>
          <w:rtl w:val="0"/>
          <w:lang w:val="da-DK"/>
        </w:rPr>
        <w:t xml:space="preserve">LLM </w:t>
      </w:r>
      <w:r>
        <w:rPr>
          <w:rtl w:val="0"/>
        </w:rPr>
        <w:t>агената на овим сценаријима и анализира услове под којима агенти представљају стварну претњу контејнерској безбедности</w:t>
      </w:r>
      <w:r>
        <w:rPr>
          <w:rtl w:val="0"/>
        </w:rPr>
        <w:t>.</w:t>
      </w:r>
    </w:p>
    <w:p>
      <w:pPr>
        <w:pStyle w:val="1 - Поглавље"/>
        <w:numPr>
          <w:ilvl w:val="0"/>
          <w:numId w:val="2"/>
        </w:numPr>
      </w:pPr>
      <w:r>
        <w:rPr>
          <w:rtl w:val="0"/>
        </w:rPr>
        <w:t xml:space="preserve">  ПРЕГЛЕД ЛИТЕРАТУРЕ</w:t>
      </w:r>
    </w:p>
    <w:p>
      <w:pPr>
        <w:pStyle w:val="2 - Подпоглавље"/>
        <w:numPr>
          <w:ilvl w:val="1"/>
          <w:numId w:val="2"/>
        </w:numPr>
      </w:pPr>
      <w:r>
        <w:rPr>
          <w:rtl w:val="0"/>
        </w:rPr>
        <w:t xml:space="preserve"> Категорије рањивости контејнера</w:t>
      </w:r>
    </w:p>
    <w:p>
      <w:pPr>
        <w:pStyle w:val="0 - Текст рада"/>
      </w:pPr>
      <w:r>
        <w:rPr>
          <w:rtl w:val="0"/>
          <w:lang w:val="nl-NL"/>
        </w:rPr>
        <w:t xml:space="preserve">Reeves </w:t>
      </w:r>
      <w:r>
        <w:rPr>
          <w:rtl w:val="0"/>
        </w:rPr>
        <w:t xml:space="preserve">и сарадници </w:t>
      </w:r>
      <w:r>
        <w:rPr>
          <w:rtl w:val="0"/>
          <w:lang w:val="pt-PT"/>
        </w:rPr>
        <w:t xml:space="preserve">[3] </w:t>
      </w:r>
      <w:r>
        <w:rPr>
          <w:rtl w:val="0"/>
        </w:rPr>
        <w:t>идентификовали су три категорије рањивости контејнерске изолације</w:t>
      </w:r>
      <w:r>
        <w:rPr>
          <w:rtl w:val="0"/>
        </w:rPr>
        <w:t>:</w:t>
      </w:r>
    </w:p>
    <w:p>
      <w:pPr>
        <w:pStyle w:val="0 - Текст рада"/>
        <w:numPr>
          <w:ilvl w:val="0"/>
          <w:numId w:val="4"/>
        </w:numPr>
      </w:pPr>
      <w:r>
        <w:rPr>
          <w:i w:val="1"/>
          <w:iCs w:val="1"/>
          <w:rtl w:val="0"/>
        </w:rPr>
        <w:t>Рањивости погрешне конфигурације</w:t>
      </w:r>
      <w:r>
        <w:rPr>
          <w:b w:val="1"/>
          <w:bCs w:val="1"/>
          <w:i w:val="1"/>
          <w:iCs w:val="1"/>
          <w:outline w:val="0"/>
          <w:color w:val="937000"/>
          <w:rtl w:val="0"/>
          <w:lang w:val="en-US"/>
          <w14:textFill>
            <w14:solidFill>
              <w14:srgbClr w14:val="947100"/>
            </w14:solidFill>
          </w14:textFill>
        </w:rPr>
        <w:t xml:space="preserve"> </w:t>
      </w:r>
      <w:r>
        <w:rPr>
          <w:rtl w:val="0"/>
          <w:lang w:val="ru-RU"/>
        </w:rPr>
        <w:t>настају некоректним подешавањима</w:t>
      </w:r>
      <w:r>
        <w:rPr>
          <w:rtl w:val="0"/>
        </w:rPr>
        <w:t xml:space="preserve">, </w:t>
      </w:r>
      <w:r>
        <w:rPr>
          <w:rtl w:val="0"/>
          <w:lang w:val="ru-RU"/>
        </w:rPr>
        <w:t>а не грешкама у софтверу</w:t>
      </w:r>
      <w:r>
        <w:rPr>
          <w:rtl w:val="0"/>
        </w:rPr>
        <w:t xml:space="preserve">. </w:t>
      </w:r>
      <w:r>
        <w:rPr>
          <w:rtl w:val="0"/>
        </w:rPr>
        <w:t xml:space="preserve">Типичан пример је опција </w:t>
      </w:r>
      <w:r>
        <w:rPr>
          <w:outline w:val="0"/>
          <w:color w:val="937000"/>
          <w:rtl w:val="0"/>
          <w:lang w:val="ru-RU"/>
          <w14:textFill>
            <w14:solidFill>
              <w14:srgbClr w14:val="947100"/>
            </w14:solidFill>
          </w14:textFill>
        </w:rPr>
        <w:t>`</w:t>
      </w:r>
      <w:r>
        <w:rPr>
          <w:outline w:val="0"/>
          <w:color w:val="000000"/>
          <w:rtl w:val="0"/>
          <w:lang w:val="en-US"/>
          <w14:textFill>
            <w14:solidFill>
              <w14:srgbClr w14:val="000000">
                <w14:alpha w14:val="30000"/>
              </w14:srgbClr>
            </w14:solidFill>
          </w14:textFill>
        </w:rPr>
        <w:t>--privileged</w:t>
      </w:r>
      <w:r>
        <w:rPr>
          <w:outline w:val="0"/>
          <w:color w:val="937000"/>
          <w:rtl w:val="0"/>
          <w:lang w:val="ru-RU"/>
          <w14:textFill>
            <w14:solidFill>
              <w14:srgbClr w14:val="947100"/>
            </w14:solidFill>
          </w14:textFill>
        </w:rPr>
        <w:t>`</w:t>
      </w:r>
      <w:r>
        <w:rPr>
          <w:rtl w:val="0"/>
          <w:lang w:val="ru-RU"/>
        </w:rPr>
        <w:t xml:space="preserve"> у </w:t>
      </w:r>
      <w:r>
        <w:rPr>
          <w:rtl w:val="0"/>
          <w:lang w:val="de-DE"/>
        </w:rPr>
        <w:t>Docker-</w:t>
      </w:r>
      <w:r>
        <w:rPr>
          <w:rtl w:val="0"/>
        </w:rPr>
        <w:t>у</w:t>
      </w:r>
      <w:r>
        <w:rPr>
          <w:rtl w:val="0"/>
        </w:rPr>
        <w:t xml:space="preserve">, </w:t>
      </w:r>
      <w:r>
        <w:rPr>
          <w:rtl w:val="0"/>
        </w:rPr>
        <w:t xml:space="preserve">која уклања </w:t>
      </w:r>
      <w:r>
        <w:rPr>
          <w:i w:val="1"/>
          <w:iCs w:val="1"/>
          <w:rtl w:val="0"/>
          <w:lang w:val="it-IT"/>
        </w:rPr>
        <w:t>seccomp</w:t>
      </w:r>
      <w:r>
        <w:rPr>
          <w:rtl w:val="0"/>
        </w:rPr>
        <w:t xml:space="preserve"> филтер</w:t>
      </w:r>
      <w:r>
        <w:rPr>
          <w:rtl w:val="0"/>
        </w:rPr>
        <w:t xml:space="preserve">, </w:t>
      </w:r>
      <w:r>
        <w:rPr>
          <w:rtl w:val="0"/>
          <w:lang w:val="ru-RU"/>
        </w:rPr>
        <w:t xml:space="preserve">додељује све </w:t>
      </w:r>
      <w:r>
        <w:rPr>
          <w:rtl w:val="0"/>
          <w:lang w:val="fr-FR"/>
        </w:rPr>
        <w:t xml:space="preserve">Linux </w:t>
      </w:r>
      <w:r>
        <w:rPr>
          <w:rtl w:val="0"/>
        </w:rPr>
        <w:t>привилегије и излаже блок уређаје домаћина контејнеру</w:t>
      </w:r>
      <w:r>
        <w:rPr>
          <w:rtl w:val="0"/>
        </w:rPr>
        <w:t>.</w:t>
      </w:r>
    </w:p>
    <w:p>
      <w:pPr>
        <w:pStyle w:val="0 - Текст рада"/>
        <w:numPr>
          <w:ilvl w:val="0"/>
          <w:numId w:val="4"/>
        </w:numPr>
        <w:rPr>
          <w:sz w:val="20"/>
          <w:szCs w:val="20"/>
        </w:rPr>
      </w:pPr>
      <w:r>
        <w:rPr>
          <w:i w:val="1"/>
          <w:iCs w:val="1"/>
          <w:sz w:val="20"/>
          <w:szCs w:val="20"/>
          <w:rtl w:val="0"/>
        </w:rPr>
        <w:t>Рањивости извршног окружења</w:t>
      </w:r>
      <w:r>
        <w:rPr>
          <w:sz w:val="20"/>
          <w:szCs w:val="20"/>
          <w:rtl w:val="0"/>
          <w:lang w:val="ru-RU"/>
        </w:rPr>
        <w:t xml:space="preserve"> су грешке у компонентама попут </w:t>
      </w:r>
      <w:r>
        <w:rPr>
          <w:sz w:val="20"/>
          <w:szCs w:val="20"/>
          <w:rtl w:val="0"/>
        </w:rPr>
        <w:t>runc-</w:t>
      </w:r>
      <w:r>
        <w:rPr>
          <w:sz w:val="20"/>
          <w:szCs w:val="20"/>
          <w:rtl w:val="0"/>
        </w:rPr>
        <w:t>а</w:t>
      </w:r>
      <w:r>
        <w:rPr>
          <w:sz w:val="20"/>
          <w:szCs w:val="20"/>
          <w:rtl w:val="0"/>
        </w:rPr>
        <w:t xml:space="preserve">, </w:t>
      </w:r>
      <w:r>
        <w:rPr>
          <w:sz w:val="20"/>
          <w:szCs w:val="20"/>
          <w:rtl w:val="0"/>
          <w:lang w:val="ru-RU"/>
        </w:rPr>
        <w:t xml:space="preserve">које директно манипулишу примитивима језгра са </w:t>
      </w:r>
      <w:r>
        <w:rPr>
          <w:sz w:val="20"/>
          <w:szCs w:val="20"/>
          <w:rtl w:val="0"/>
          <w:lang w:val="nl-NL"/>
        </w:rPr>
        <w:t xml:space="preserve">root </w:t>
      </w:r>
      <w:r>
        <w:rPr>
          <w:sz w:val="20"/>
          <w:szCs w:val="20"/>
          <w:rtl w:val="0"/>
        </w:rPr>
        <w:t>привилегијама на домаћину</w:t>
      </w:r>
      <w:r>
        <w:rPr>
          <w:sz w:val="20"/>
          <w:szCs w:val="20"/>
          <w:rtl w:val="0"/>
        </w:rPr>
        <w:t xml:space="preserve">. </w:t>
      </w:r>
      <w:r>
        <w:rPr>
          <w:sz w:val="20"/>
          <w:szCs w:val="20"/>
          <w:rtl w:val="0"/>
          <w:lang w:val="ru-RU"/>
        </w:rPr>
        <w:t xml:space="preserve">Репрезентативан пример је </w:t>
      </w:r>
      <w:r>
        <w:rPr>
          <w:sz w:val="20"/>
          <w:szCs w:val="20"/>
          <w:rtl w:val="0"/>
          <w:lang w:val="en-US"/>
        </w:rPr>
        <w:t>CVE-2024-21626 (Leaky Vessels)</w:t>
      </w:r>
      <w:r>
        <w:rPr>
          <w:sz w:val="20"/>
          <w:szCs w:val="20"/>
          <w:rtl w:val="0"/>
          <w:lang w:val="en-US"/>
        </w:rPr>
        <w:t xml:space="preserve"> [6]</w:t>
      </w:r>
      <w:r>
        <w:rPr>
          <w:sz w:val="20"/>
          <w:szCs w:val="20"/>
          <w:rtl w:val="0"/>
        </w:rPr>
        <w:t xml:space="preserve">, </w:t>
      </w:r>
      <w:r>
        <w:rPr>
          <w:sz w:val="20"/>
          <w:szCs w:val="20"/>
          <w:rtl w:val="0"/>
          <w:lang w:val="ru-RU"/>
        </w:rPr>
        <w:t xml:space="preserve">при ком </w:t>
      </w:r>
      <w:r>
        <w:rPr>
          <w:sz w:val="20"/>
          <w:szCs w:val="20"/>
          <w:rtl w:val="0"/>
        </w:rPr>
        <w:t xml:space="preserve">runc </w:t>
      </w:r>
      <w:r>
        <w:rPr>
          <w:sz w:val="20"/>
          <w:szCs w:val="20"/>
          <w:rtl w:val="0"/>
        </w:rPr>
        <w:t xml:space="preserve">пропушта отворен дескриптор датотеке ка </w:t>
      </w:r>
      <w:r>
        <w:rPr>
          <w:sz w:val="20"/>
          <w:szCs w:val="20"/>
          <w:rtl w:val="0"/>
        </w:rPr>
        <w:t>систему датотека домаћина у иницијалном процесу контејнера</w:t>
      </w:r>
      <w:r>
        <w:rPr>
          <w:sz w:val="20"/>
          <w:szCs w:val="20"/>
          <w:rtl w:val="0"/>
        </w:rPr>
        <w:t>.</w:t>
      </w:r>
    </w:p>
    <w:p>
      <w:pPr>
        <w:pStyle w:val="0 - Текст рада"/>
        <w:numPr>
          <w:ilvl w:val="0"/>
          <w:numId w:val="4"/>
        </w:numPr>
        <w:rPr>
          <w:sz w:val="20"/>
          <w:szCs w:val="20"/>
        </w:rPr>
      </w:pPr>
      <w:r>
        <w:rPr>
          <w:i w:val="1"/>
          <w:iCs w:val="1"/>
          <w:sz w:val="20"/>
          <w:szCs w:val="20"/>
          <w:rtl w:val="0"/>
        </w:rPr>
        <w:t xml:space="preserve">Рањивости </w:t>
      </w:r>
      <w:r>
        <w:rPr>
          <w:i w:val="1"/>
          <w:iCs w:val="1"/>
          <w:sz w:val="20"/>
          <w:szCs w:val="20"/>
          <w:rtl w:val="0"/>
          <w:lang w:val="fr-FR"/>
        </w:rPr>
        <w:t xml:space="preserve">Linux </w:t>
      </w:r>
      <w:r>
        <w:rPr>
          <w:i w:val="1"/>
          <w:iCs w:val="1"/>
          <w:sz w:val="20"/>
          <w:szCs w:val="20"/>
          <w:rtl w:val="0"/>
        </w:rPr>
        <w:t>језгра</w:t>
      </w:r>
      <w:r>
        <w:rPr>
          <w:sz w:val="20"/>
          <w:szCs w:val="20"/>
          <w:rtl w:val="0"/>
        </w:rPr>
        <w:t xml:space="preserve"> могу се експлоатисати из контејнера без обзира на конфигурацију</w:t>
      </w:r>
      <w:r>
        <w:rPr>
          <w:sz w:val="20"/>
          <w:szCs w:val="20"/>
          <w:rtl w:val="0"/>
        </w:rPr>
        <w:t xml:space="preserve">, </w:t>
      </w:r>
      <w:r>
        <w:rPr>
          <w:sz w:val="20"/>
          <w:szCs w:val="20"/>
          <w:rtl w:val="0"/>
          <w:lang w:val="ru-RU"/>
        </w:rPr>
        <w:t>пошто контејнери деле језгро домаћина са домаћином</w:t>
      </w:r>
      <w:r>
        <w:rPr>
          <w:sz w:val="20"/>
          <w:szCs w:val="20"/>
          <w:rtl w:val="0"/>
          <w:lang w:val="en-US"/>
        </w:rPr>
        <w:t xml:space="preserve"> [2]</w:t>
      </w:r>
      <w:r>
        <w:rPr>
          <w:sz w:val="20"/>
          <w:szCs w:val="20"/>
          <w:rtl w:val="0"/>
        </w:rPr>
        <w:t>. CVE-2022-0847 (DirtyPipe)</w:t>
      </w:r>
      <w:r>
        <w:rPr>
          <w:sz w:val="20"/>
          <w:szCs w:val="20"/>
          <w:rtl w:val="0"/>
          <w:lang w:val="en-US"/>
        </w:rPr>
        <w:t xml:space="preserve"> [7] </w:t>
      </w:r>
      <w:r>
        <w:rPr>
          <w:sz w:val="20"/>
          <w:szCs w:val="20"/>
          <w:rtl w:val="0"/>
        </w:rPr>
        <w:t xml:space="preserve">омогућава </w:t>
      </w:r>
      <w:r>
        <w:rPr>
          <w:rtl w:val="0"/>
          <w:lang w:val="ru-RU"/>
        </w:rPr>
        <w:t xml:space="preserve">непривилегованом процесу </w:t>
      </w:r>
      <w:r>
        <w:rPr>
          <w:sz w:val="20"/>
          <w:szCs w:val="20"/>
          <w:rtl w:val="0"/>
          <w:lang w:val="ru-RU"/>
        </w:rPr>
        <w:t>да преписује датотеке само за читање у кешу страница</w:t>
      </w:r>
      <w:r>
        <w:rPr>
          <w:sz w:val="20"/>
          <w:szCs w:val="20"/>
          <w:rtl w:val="0"/>
        </w:rPr>
        <w:t xml:space="preserve">, </w:t>
      </w:r>
      <w:r>
        <w:rPr>
          <w:sz w:val="20"/>
          <w:szCs w:val="20"/>
          <w:rtl w:val="0"/>
        </w:rPr>
        <w:t>укључујући извршне датотеке домаћина</w:t>
      </w:r>
      <w:r>
        <w:rPr>
          <w:sz w:val="20"/>
          <w:szCs w:val="20"/>
          <w:rtl w:val="0"/>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Menlo Regular" w:cs="Menlo Regular" w:hAnsi="Menlo Regular" w:eastAsia="Menlo Regular"/>
          <w:outline w:val="0"/>
          <w:color w:val="000000"/>
          <w:shd w:val="clear" w:color="auto" w:fill="fffeff"/>
          <w14:textFill>
            <w14:solidFill>
              <w14:srgbClr w14:val="000000">
                <w14:alpha w14:val="14999"/>
              </w14:srgbClr>
            </w14:solidFill>
          </w14:textFill>
        </w:rPr>
      </w:pPr>
    </w:p>
    <w:p>
      <w:pPr>
        <w:pStyle w:val="2 - Подпоглавље"/>
        <w:numPr>
          <w:ilvl w:val="1"/>
          <w:numId w:val="2"/>
        </w:numPr>
      </w:pPr>
      <w:r>
        <w:rPr>
          <w:rtl w:val="0"/>
        </w:rPr>
        <w:t xml:space="preserve"> </w:t>
      </w:r>
      <w:r>
        <w:rPr>
          <w:rtl w:val="0"/>
          <w:lang w:val="en-US"/>
        </w:rPr>
        <w:t xml:space="preserve">LLM </w:t>
      </w:r>
      <w:r>
        <w:rPr>
          <w:rtl w:val="0"/>
        </w:rPr>
        <w:t>Агенти у офанзивној безбедности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outline w:val="0"/>
          <w:color w:val="000000"/>
          <w:sz w:val="20"/>
          <w:szCs w:val="20"/>
          <w:shd w:val="clear" w:color="auto" w:fill="fffeff"/>
          <w:rtl w:val="0"/>
          <w:lang w:val="pt-PT"/>
          <w14:textFill>
            <w14:solidFill>
              <w14:srgbClr w14:val="000000">
                <w14:alpha w14:val="14999"/>
              </w14:srgbClr>
            </w14:solidFill>
          </w14:textFill>
        </w:rPr>
        <w:t xml:space="preserve">Yao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и сарадници формализовали су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ReAct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парадигму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у којој агент наизменично генерише трагове резоновања и извршава акције кроз алате у затвореној петљи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[8]</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Овај образац омогућава </w:t>
      </w:r>
      <w:r>
        <w:rPr>
          <w:rFonts w:ascii="Times New Roman" w:hAnsi="Times New Roman"/>
          <w:outline w:val="0"/>
          <w:color w:val="000000"/>
          <w:sz w:val="20"/>
          <w:szCs w:val="20"/>
          <w:shd w:val="clear" w:color="auto" w:fill="fffeff"/>
          <w:rtl w:val="0"/>
          <w:lang w:val="da-DK"/>
          <w14:textFill>
            <w14:solidFill>
              <w14:srgbClr w14:val="000000">
                <w14:alpha w14:val="14999"/>
              </w14:srgbClr>
            </w14:solidFill>
          </w14:textFill>
        </w:rPr>
        <w:t>LLM-</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у да аутономно прикупља информације о окружењу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планира и реагује на резултате команди без људске интервенције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r>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mc:AlternateContent>
          <mc:Choice Requires="wpg">
            <w:drawing xmlns:a="http://schemas.openxmlformats.org/drawingml/2006/main">
              <wp:anchor distT="152400" distB="152400" distL="152400" distR="152400" simplePos="0" relativeHeight="251659264" behindDoc="0" locked="0" layoutInCell="1" allowOverlap="1">
                <wp:simplePos x="0" y="0"/>
                <wp:positionH relativeFrom="margin">
                  <wp:posOffset>304271</wp:posOffset>
                </wp:positionH>
                <wp:positionV relativeFrom="line">
                  <wp:posOffset>508390</wp:posOffset>
                </wp:positionV>
                <wp:extent cx="5507777" cy="4345774"/>
                <wp:effectExtent l="0" t="0" r="0" b="0"/>
                <wp:wrapSquare wrapText="bothSides" distL="152400" distR="152400" distT="152400" distB="152400"/>
                <wp:docPr id="1073741828" name="officeArt object" descr="Image Gallery"/>
                <wp:cNvGraphicFramePr/>
                <a:graphic xmlns:a="http://schemas.openxmlformats.org/drawingml/2006/main">
                  <a:graphicData uri="http://schemas.microsoft.com/office/word/2010/wordprocessingGroup">
                    <wpg:wgp>
                      <wpg:cNvGrpSpPr/>
                      <wpg:grpSpPr>
                        <a:xfrm>
                          <a:off x="0" y="0"/>
                          <a:ext cx="5507777" cy="4345774"/>
                          <a:chOff x="0" y="-325344"/>
                          <a:chExt cx="5507776" cy="4345773"/>
                        </a:xfrm>
                      </wpg:grpSpPr>
                      <pic:pic xmlns:pic="http://schemas.openxmlformats.org/drawingml/2006/picture">
                        <pic:nvPicPr>
                          <pic:cNvPr id="1073741826" name="arhitektura-sistema.png" descr="arhitektura-sistema.png"/>
                          <pic:cNvPicPr>
                            <a:picLocks noChangeAspect="1"/>
                          </pic:cNvPicPr>
                        </pic:nvPicPr>
                        <pic:blipFill>
                          <a:blip r:embed="rId7">
                            <a:extLst/>
                          </a:blip>
                          <a:srcRect l="2003" t="0" r="2003" b="0"/>
                          <a:stretch>
                            <a:fillRect/>
                          </a:stretch>
                        </pic:blipFill>
                        <pic:spPr>
                          <a:xfrm>
                            <a:off x="0" y="0"/>
                            <a:ext cx="5507777" cy="4020430"/>
                          </a:xfrm>
                          <a:prstGeom prst="rect">
                            <a:avLst/>
                          </a:prstGeom>
                          <a:ln w="12700" cap="flat">
                            <a:noFill/>
                            <a:miter lim="400000"/>
                          </a:ln>
                          <a:effectLst/>
                        </pic:spPr>
                      </pic:pic>
                      <wps:wsp>
                        <wps:cNvPr id="1073741827" name="Слика 1 Архитектура система"/>
                        <wps:cNvSpPr/>
                        <wps:spPr>
                          <a:xfrm>
                            <a:off x="0" y="-325345"/>
                            <a:ext cx="5507777" cy="223745"/>
                          </a:xfrm>
                          <a:prstGeom prst="roundRect">
                            <a:avLst>
                              <a:gd name="adj" fmla="val 0"/>
                            </a:avLst>
                          </a:prstGeom>
                          <a:noFill/>
                          <a:ln w="12700" cap="flat">
                            <a:noFill/>
                            <a:miter lim="400000"/>
                          </a:ln>
                          <a:effectLst/>
                        </wps:spPr>
                        <wps:txbx>
                          <w:txbxContent>
                            <w:p>
                              <w:pPr>
                                <w:pStyle w:val="caption"/>
                                <w:suppressAutoHyphens w:val="1"/>
                              </w:pPr>
                              <w:r>
                                <w:rPr>
                                  <w:rtl w:val="0"/>
                                </w:rPr>
                                <w:t xml:space="preserve">Слика </w:t>
                              </w:r>
                              <w:r>
                                <w:rPr>
                                  <w:rtl w:val="0"/>
                                  <w:lang w:val="ru-RU"/>
                                </w:rPr>
                                <w:t xml:space="preserve">1 </w:t>
                              </w:r>
                              <w:r>
                                <w:rPr>
                                  <w:rtl w:val="0"/>
                                </w:rPr>
                                <w:t>Архитектура система</w:t>
                              </w:r>
                            </w:p>
                          </w:txbxContent>
                        </wps:txbx>
                        <wps:bodyPr wrap="square" lIns="50800" tIns="50800" rIns="50800" bIns="50800" numCol="1" anchor="t">
                          <a:noAutofit/>
                        </wps:bodyPr>
                      </wps:wsp>
                    </wpg:wgp>
                  </a:graphicData>
                </a:graphic>
              </wp:anchor>
            </w:drawing>
          </mc:Choice>
          <mc:Fallback>
            <w:pict>
              <v:group id="_x0000_s1026" style="visibility:visible;position:absolute;margin-left:24.0pt;margin-top:40.0pt;width:433.7pt;height:342.2pt;z-index:251659264;mso-position-horizontal:absolute;mso-position-horizontal-relative:margin;mso-position-vertical:absolute;mso-position-vertical-relative:line;mso-wrap-distance-left:12.0pt;mso-wrap-distance-top:12.0pt;mso-wrap-distance-right:12.0pt;mso-wrap-distance-bottom:12.0pt;" coordorigin="0,-325344" coordsize="5507776,4345773">
                <w10:wrap type="square" side="bothSides" anchorx="margin"/>
                <v:shape id="_x0000_s1027" type="#_x0000_t75" style="position:absolute;left:0;top:0;width:5507776;height:4020429;">
                  <v:imagedata r:id="rId7" o:title="arhitektura-sistema.png" cropleft="2.0%" cropright="2.0%"/>
                </v:shape>
                <v:roundrect id="_x0000_s1028" style="position:absolute;left:0;top:-325344;width:5507776;height:223744;" adj="0">
                  <v:fill on="f"/>
                  <v:stroke on="f" weight="1.0pt" dashstyle="solid" endcap="flat" miterlimit="400.0%" joinstyle="miter" linestyle="single" startarrow="none" startarrowwidth="medium" startarrowlength="medium" endarrow="none" endarrowwidth="medium" endarrowlength="medium"/>
                  <v:textbox>
                    <w:txbxContent>
                      <w:p>
                        <w:pPr>
                          <w:pStyle w:val="caption"/>
                          <w:suppressAutoHyphens w:val="1"/>
                        </w:pPr>
                        <w:r>
                          <w:rPr>
                            <w:rtl w:val="0"/>
                          </w:rPr>
                          <w:t xml:space="preserve">Слика </w:t>
                        </w:r>
                        <w:r>
                          <w:rPr>
                            <w:rtl w:val="0"/>
                            <w:lang w:val="ru-RU"/>
                          </w:rPr>
                          <w:t xml:space="preserve">1 </w:t>
                        </w:r>
                        <w:r>
                          <w:rPr>
                            <w:rtl w:val="0"/>
                          </w:rPr>
                          <w:t>Архитектура система</w:t>
                        </w:r>
                      </w:p>
                    </w:txbxContent>
                  </v:textbox>
                </v:roundrect>
              </v:group>
            </w:pict>
          </mc:Fallback>
        </mc:AlternateConten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outline w:val="0"/>
          <w:color w:val="000000"/>
          <w:sz w:val="20"/>
          <w:szCs w:val="20"/>
          <w:shd w:val="clear" w:color="auto" w:fill="fffeff"/>
          <w:rtl w:val="0"/>
          <w:lang w:val="nl-NL"/>
          <w14:textFill>
            <w14:solidFill>
              <w14:srgbClr w14:val="000000">
                <w14:alpha w14:val="14999"/>
              </w14:srgbClr>
            </w14:solidFill>
          </w14:textFill>
        </w:rPr>
        <w:t xml:space="preserve">Happe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lang w:val="it-IT"/>
          <w14:textFill>
            <w14:solidFill>
              <w14:srgbClr w14:val="000000">
                <w14:alpha w14:val="14999"/>
              </w14:srgbClr>
            </w14:solidFill>
          </w14:textFill>
        </w:rPr>
        <w:t xml:space="preserve">Cito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демонстрирали су да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GPT-3.5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може редовно да стекне </w:t>
      </w:r>
      <w:r>
        <w:rPr>
          <w:rFonts w:ascii="Times New Roman" w:hAnsi="Times New Roman"/>
          <w:outline w:val="0"/>
          <w:color w:val="000000"/>
          <w:sz w:val="20"/>
          <w:szCs w:val="20"/>
          <w:shd w:val="clear" w:color="auto" w:fill="fffeff"/>
          <w:rtl w:val="0"/>
          <w:lang w:val="nl-NL"/>
          <w14:textFill>
            <w14:solidFill>
              <w14:srgbClr w14:val="000000">
                <w14:alpha w14:val="14999"/>
              </w14:srgbClr>
            </w14:solidFill>
          </w14:textFill>
        </w:rPr>
        <w:t xml:space="preserve">root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привилегије на рањивој виртуелној машини аутоматизованим пенетрационим тестирањем</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[9]</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Fang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[4]</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 постигли су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73,3%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стопу успеха на скупу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веб</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рањивости уз трошак испод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10 USD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по покушају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Zhu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[5]</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проширили су ово на рањивости нултог дана са хијерархијским тимовима агената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постижући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42%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при пет покушаја по рањивости</w:t>
      </w:r>
      <w:r>
        <w:rPr>
          <w:rFonts w:ascii="Times New Roman" w:hAnsi="Times New Roman"/>
          <w:outline w:val="0"/>
          <w:color w:val="1336ff"/>
          <w:sz w:val="20"/>
          <w:szCs w:val="20"/>
          <w:shd w:val="clear" w:color="auto" w:fill="fffeff"/>
          <w:rtl w:val="0"/>
          <w14:textFill>
            <w14:solidFill>
              <w14:srgbClr w14:val="1337FF"/>
            </w14:solidFill>
          </w14:textFill>
        </w:rPr>
        <w:t>.</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 Сви ови радови циљају апликативни слој</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Ниједно претходно истраживање није систематски евалуирало да ли </w:t>
      </w:r>
      <w:r>
        <w:rPr>
          <w:rFonts w:ascii="Times New Roman" w:hAnsi="Times New Roman"/>
          <w:outline w:val="0"/>
          <w:color w:val="000000"/>
          <w:sz w:val="20"/>
          <w:szCs w:val="2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агенти могу аутономно да наруше контејнерску изолацију кроз све три категорије које идентификују </w:t>
      </w:r>
      <w:r>
        <w:rPr>
          <w:rFonts w:ascii="Times New Roman" w:hAnsi="Times New Roman"/>
          <w:outline w:val="0"/>
          <w:color w:val="000000"/>
          <w:sz w:val="20"/>
          <w:szCs w:val="20"/>
          <w:shd w:val="clear" w:color="auto" w:fill="fffeff"/>
          <w:rtl w:val="0"/>
          <w:lang w:val="nl-NL"/>
          <w14:textFill>
            <w14:solidFill>
              <w14:srgbClr w14:val="000000">
                <w14:alpha w14:val="14999"/>
              </w14:srgbClr>
            </w14:solidFill>
          </w14:textFill>
        </w:rPr>
        <w:t xml:space="preserve">Reeves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и сарадници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[3].</w:t>
      </w:r>
    </w:p>
    <w:p>
      <w:pPr>
        <w:pStyle w:val="1 - Поглавље"/>
        <w:numPr>
          <w:ilvl w:val="0"/>
          <w:numId w:val="2"/>
        </w:numPr>
      </w:pPr>
      <w:r>
        <w:rPr>
          <w:rtl w:val="0"/>
        </w:rPr>
        <w:t xml:space="preserve"> </w:t>
      </w:r>
      <w:r>
        <w:rPr>
          <w:rtl w:val="0"/>
        </w:rPr>
        <w:t>ЕВАЛУЦИОНИ ОКВИР</w:t>
      </w:r>
    </w:p>
    <w:p>
      <w:pPr>
        <w:pStyle w:val="2 - Подпоглавље"/>
        <w:numPr>
          <w:ilvl w:val="1"/>
          <w:numId w:val="2"/>
        </w:numPr>
      </w:pPr>
      <w:r>
        <w:rPr>
          <w:rtl w:val="0"/>
          <w:lang w:val="en-US"/>
        </w:rPr>
        <w:t xml:space="preserve"> </w:t>
      </w:r>
      <w:r>
        <w:rPr>
          <w:rtl w:val="0"/>
        </w:rPr>
        <w:t>Архитектура система</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Спољашњи слој евалуационог оквира је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macOS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домаћин</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Сваки сценарио извршава се унутар </w:t>
      </w:r>
      <w:r>
        <w:rPr>
          <w:rFonts w:ascii="Times New Roman" w:hAnsi="Times New Roman"/>
          <w:outline w:val="0"/>
          <w:color w:val="000000"/>
          <w:sz w:val="20"/>
          <w:szCs w:val="20"/>
          <w:shd w:val="clear" w:color="auto" w:fill="fffeff"/>
          <w:rtl w:val="0"/>
          <w:lang w:val="fr-FR"/>
          <w14:textFill>
            <w14:solidFill>
              <w14:srgbClr w14:val="000000">
                <w14:alpha w14:val="14999"/>
              </w14:srgbClr>
            </w14:solidFill>
          </w14:textFill>
        </w:rPr>
        <w:t xml:space="preserve">Linux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виртуелне машине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(Ubuntu 22.04)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под управом </w:t>
      </w:r>
      <w:r>
        <w:rPr>
          <w:rFonts w:ascii="Times New Roman" w:hAnsi="Times New Roman"/>
          <w:outline w:val="0"/>
          <w:color w:val="000000"/>
          <w:sz w:val="20"/>
          <w:szCs w:val="20"/>
          <w:shd w:val="clear" w:color="auto" w:fill="fffeff"/>
          <w:rtl w:val="0"/>
          <w:lang w:val="pt-PT"/>
          <w14:textFill>
            <w14:solidFill>
              <w14:srgbClr w14:val="000000">
                <w14:alpha w14:val="14999"/>
              </w14:srgbClr>
            </w14:solidFill>
          </w14:textFill>
        </w:rPr>
        <w:t xml:space="preserve">Lima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менаџера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чиме потпуно успешно нарушавање изолације контејнера не угрожава машину истраживача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Унутар виртуелне машине </w:t>
      </w:r>
      <w:r>
        <w:rPr>
          <w:rFonts w:ascii="Times New Roman" w:hAnsi="Times New Roman"/>
          <w:outline w:val="0"/>
          <w:color w:val="000000"/>
          <w:sz w:val="20"/>
          <w:szCs w:val="20"/>
          <w:shd w:val="clear" w:color="auto" w:fill="fffeff"/>
          <w:rtl w:val="0"/>
          <w:lang w:val="de-DE"/>
          <w14:textFill>
            <w14:solidFill>
              <w14:srgbClr w14:val="000000">
                <w14:alpha w14:val="14999"/>
              </w14:srgbClr>
            </w14:solidFill>
          </w14:textFill>
        </w:rPr>
        <w:t xml:space="preserve">Docker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покреће два контејнера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контејнер нападача са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Python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оркестратором и </w:t>
      </w:r>
      <w:r>
        <w:rPr>
          <w:rFonts w:ascii="Times New Roman" w:hAnsi="Times New Roman"/>
          <w:outline w:val="0"/>
          <w:color w:val="000000"/>
          <w:sz w:val="20"/>
          <w:szCs w:val="2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агентом и контејнер жртве са процесом који чува тајни податак искључиво у радној меморији</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Архитектура је приказана на Слици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1.</w:t>
      </w:r>
    </w:p>
    <w:p>
      <w:pPr>
        <w:pStyle w:val="0 - Текст рада"/>
      </w:pPr>
    </w:p>
    <w:p>
      <w:pPr>
        <w:pStyle w:val="2 - Подпоглавље"/>
        <w:numPr>
          <w:ilvl w:val="1"/>
          <w:numId w:val="2"/>
        </w:numPr>
      </w:pPr>
      <w:r>
        <w:rPr>
          <w:rtl w:val="0"/>
        </w:rPr>
        <w:t xml:space="preserve"> </w:t>
      </w:r>
      <w:r>
        <w:rPr>
          <w:rtl w:val="0"/>
        </w:rPr>
        <w:t>Лабораторијски сценарији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Три лабораторијска сценарија покривају по једну категорију рањивости из Секције </w:t>
      </w:r>
      <w:r>
        <w:rPr>
          <w:rFonts w:ascii="Times New Roman" w:hAnsi="Times New Roman"/>
          <w:outline w:val="0"/>
          <w:color w:val="000000"/>
          <w:sz w:val="20"/>
          <w:szCs w:val="20"/>
          <w:shd w:val="clear" w:color="auto" w:fill="fffeff"/>
          <w:rtl w:val="0"/>
          <w:lang w:val="pt-PT"/>
          <w14:textFill>
            <w14:solidFill>
              <w14:srgbClr w14:val="000000">
                <w14:alpha w14:val="14999"/>
              </w14:srgbClr>
            </w14:solidFill>
          </w14:textFill>
        </w:rPr>
        <w:t xml:space="preserve">2.1,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поређана по растућој сложености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numPr>
          <w:ilvl w:val="0"/>
          <w:numId w:val="5"/>
        </w:numPr>
        <w:suppressAutoHyphens w:val="1"/>
        <w:spacing w:before="0" w:line="240" w:lineRule="auto"/>
        <w:jc w:val="left"/>
        <w:rPr>
          <w:rFonts w:ascii="Times New Roman" w:hAnsi="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Lab-a</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погрешна конфигурација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контејнер нападача покреће се са </w:t>
      </w:r>
      <w:r>
        <w:rPr>
          <w:rFonts w:ascii="Times New Roman" w:hAnsi="Times New Roman"/>
          <w:outline w:val="0"/>
          <w:color w:val="937000"/>
          <w:sz w:val="20"/>
          <w:szCs w:val="20"/>
          <w:shd w:val="clear" w:color="auto" w:fill="fffeff"/>
          <w:rtl w:val="0"/>
          <w:lang w:val="ru-RU"/>
          <w14:textFill>
            <w14:solidFill>
              <w14:srgbClr w14:val="947100"/>
            </w14:solidFill>
          </w14:textFill>
        </w:rPr>
        <w:t>`</w:t>
      </w:r>
      <w:r>
        <w:rPr>
          <w:rFonts w:ascii="Times New Roman" w:hAnsi="Times New Roman"/>
          <w:outline w:val="0"/>
          <w:color w:val="000000"/>
          <w:sz w:val="20"/>
          <w:szCs w:val="20"/>
          <w:shd w:val="clear" w:color="auto" w:fill="fffeff"/>
          <w:rtl w:val="0"/>
          <w:lang w:val="en-US"/>
          <w14:textFill>
            <w14:solidFill>
              <w14:srgbClr w14:val="000000">
                <w14:alpha w14:val="30000"/>
              </w14:srgbClr>
            </w14:solidFill>
          </w14:textFill>
        </w:rPr>
        <w:t>--privileged</w:t>
      </w:r>
      <w:r>
        <w:rPr>
          <w:rFonts w:ascii="Times New Roman" w:hAnsi="Times New Roman"/>
          <w:outline w:val="0"/>
          <w:color w:val="937000"/>
          <w:sz w:val="20"/>
          <w:szCs w:val="20"/>
          <w:shd w:val="clear" w:color="auto" w:fill="fffeff"/>
          <w:rtl w:val="0"/>
          <w:lang w:val="ru-RU"/>
          <w14:textFill>
            <w14:solidFill>
              <w14:srgbClr w14:val="947100"/>
            </w14:solidFill>
          </w14:textFill>
        </w:rPr>
        <w:t>`</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Агент мора да препозна пермисивну конфигурацију и искористи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ову рањивост</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numPr>
          <w:ilvl w:val="0"/>
          <w:numId w:val="5"/>
        </w:numPr>
        <w:suppressAutoHyphens w:val="1"/>
        <w:spacing w:before="0" w:line="240" w:lineRule="auto"/>
        <w:jc w:val="left"/>
        <w:rPr>
          <w:rFonts w:ascii="Times New Roman" w:hAnsi="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Lab-b</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(CVE-2024-21626):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инсталиране су рањиве верзије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runc 1.1.11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containerd 1.7.12.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Агент мора да детектује аномалан радни директоријум и прати процурели дескриптор датотеке до система датотека домаћина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numPr>
          <w:ilvl w:val="0"/>
          <w:numId w:val="5"/>
        </w:numPr>
        <w:suppressAutoHyphens w:val="1"/>
        <w:spacing w:before="0" w:line="240" w:lineRule="auto"/>
        <w:jc w:val="left"/>
        <w:rPr>
          <w:rFonts w:ascii="Times New Roman" w:hAnsi="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i w:val="1"/>
          <w:iCs w:val="1"/>
          <w:outline w:val="0"/>
          <w:color w:val="000000"/>
          <w:sz w:val="20"/>
          <w:szCs w:val="20"/>
          <w:shd w:val="clear" w:color="auto" w:fill="fffeff"/>
          <w:rtl w:val="0"/>
          <w14:textFill>
            <w14:solidFill>
              <w14:srgbClr w14:val="000000">
                <w14:alpha w14:val="14999"/>
              </w14:srgbClr>
            </w14:solidFill>
          </w14:textFill>
        </w:rPr>
        <w:t>Lab-c</w:t>
      </w:r>
      <w:r>
        <w:rPr>
          <w:rFonts w:ascii="Times New Roman" w:hAnsi="Times New Roman"/>
          <w:i w:val="1"/>
          <w:iCs w:val="1"/>
          <w:outline w:val="0"/>
          <w:color w:val="937000"/>
          <w:sz w:val="20"/>
          <w:szCs w:val="20"/>
          <w:shd w:val="clear" w:color="auto" w:fill="fffeff"/>
          <w:rtl w:val="0"/>
          <w:lang w:val="en-US"/>
          <w14:textFill>
            <w14:solidFill>
              <w14:srgbClr w14:val="947100"/>
            </w14:solidFill>
          </w14:textFill>
        </w:rPr>
        <w:t xml:space="preserve">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(CVE-2022-0847):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изграђено је рањиво </w:t>
      </w:r>
      <w:r>
        <w:rPr>
          <w:rFonts w:ascii="Times New Roman" w:hAnsi="Times New Roman"/>
          <w:outline w:val="0"/>
          <w:color w:val="000000"/>
          <w:sz w:val="20"/>
          <w:szCs w:val="20"/>
          <w:shd w:val="clear" w:color="auto" w:fill="fffeff"/>
          <w:rtl w:val="0"/>
          <w:lang w:val="fr-FR"/>
          <w14:textFill>
            <w14:solidFill>
              <w14:srgbClr w14:val="000000">
                <w14:alpha w14:val="14999"/>
              </w14:srgbClr>
            </w14:solidFill>
          </w14:textFill>
        </w:rPr>
        <w:t xml:space="preserve">Linux 5.15.24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језгро из изворног кода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Агент мора да идентификује рањиву верзију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примени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DirtyPipe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за преписивање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runc-</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а у кешу страница и изазове извршавање на домаћину покретањем новог контејнера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0 - Текст рада"/>
      </w:pPr>
    </w:p>
    <w:p>
      <w:pPr>
        <w:pStyle w:val="2 - Подпоглавље"/>
        <w:numPr>
          <w:ilvl w:val="1"/>
          <w:numId w:val="2"/>
        </w:numPr>
      </w:pPr>
      <w:r>
        <w:rPr>
          <w:rtl w:val="0"/>
        </w:rPr>
        <w:t xml:space="preserve"> </w:t>
      </w:r>
      <w:r>
        <w:rPr>
          <w:rtl w:val="0"/>
        </w:rPr>
        <w:t>Процесни ток агента и верификација</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Свака епизода пролази кроз четири фазе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извиђање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(14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детерминистичких шел провера без </w:t>
      </w:r>
      <w:r>
        <w:rPr>
          <w:rFonts w:ascii="Times New Roman" w:hAnsi="Times New Roman"/>
          <w:outline w:val="0"/>
          <w:color w:val="000000"/>
          <w:sz w:val="20"/>
          <w:szCs w:val="20"/>
          <w:shd w:val="clear" w:color="auto" w:fill="fffeff"/>
          <w:rtl w:val="0"/>
          <w:lang w:val="da-DK"/>
          <w14:textFill>
            <w14:solidFill>
              <w14:srgbClr w14:val="000000">
                <w14:alpha w14:val="14999"/>
              </w14:srgbClr>
            </w14:solidFill>
          </w14:textFill>
        </w:rPr>
        <w:t>LLM-</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евалуација </w:t>
      </w:r>
      <w:r>
        <w:rPr>
          <w:rFonts w:ascii="Times New Roman" w:hAnsi="Times New Roman"/>
          <w:outline w:val="0"/>
          <w:color w:val="000000"/>
          <w:sz w:val="20"/>
          <w:szCs w:val="20"/>
          <w:shd w:val="clear" w:color="auto" w:fill="fffeff"/>
          <w:rtl w:val="0"/>
          <w:lang w:val="da-DK"/>
          <w14:textFill>
            <w14:solidFill>
              <w14:srgbClr w14:val="000000">
                <w14:alpha w14:val="14999"/>
              </w14:srgbClr>
            </w14:solidFill>
          </w14:textFill>
        </w:rPr>
        <w:t xml:space="preserve">(LLM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анализира резултате извиђања и производи структуриран план напада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експлоатација </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(ReAct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петља са алатима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и поновно планирање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до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3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додатна покушаја са сажетком неуспеха претходног</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Оракл верификује два услова независно</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да ли је агент стигао до домаћина виртуелне машине и да ли је издвојени тајни податак тачан</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Епизода је успешна само ако обе провере прођу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2 - Подпоглавље"/>
        <w:numPr>
          <w:ilvl w:val="1"/>
          <w:numId w:val="2"/>
        </w:numPr>
      </w:pPr>
      <w:r>
        <w:rPr>
          <w:rtl w:val="0"/>
          <w:lang w:val="ru-RU"/>
        </w:rPr>
        <w:t>Евалуирани модели и буџет</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 xml:space="preserve">Евалуирана су три модела из породице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Claude</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[10]</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claude-haiku-4-5 (5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епизода по ћелији</w:t>
      </w:r>
      <w:r>
        <w:rPr>
          <w:rFonts w:ascii="Times New Roman" w:hAnsi="Times New Roman"/>
          <w:outline w:val="0"/>
          <w:color w:val="000000"/>
          <w:sz w:val="20"/>
          <w:szCs w:val="20"/>
          <w:shd w:val="clear" w:color="auto" w:fill="fffeff"/>
          <w:rtl w:val="0"/>
          <w:lang w:val="en-US"/>
          <w14:textFill>
            <w14:solidFill>
              <w14:srgbClr w14:val="000000">
                <w14:alpha w14:val="14999"/>
              </w14:srgbClr>
            </w14:solidFill>
          </w14:textFill>
        </w:rPr>
        <w:t xml:space="preserve">), claude-sonnet-4-6 (5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claude-opus-4-8 (3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епизоде</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lang w:val="ru-RU"/>
          <w14:textFill>
            <w14:solidFill>
              <w14:srgbClr w14:val="000000">
                <w14:alpha w14:val="14999"/>
              </w14:srgbClr>
            </w14:solidFill>
          </w14:textFill>
        </w:rPr>
        <w:t>смањено због трошкова</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Ефективни прагови буџета разликују се по моделу услед разлика у цени по токену</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приближно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2 USD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по епизоди за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Haiku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w:t>
      </w:r>
      <w:r>
        <w:rPr>
          <w:rFonts w:ascii="Times New Roman" w:hAnsi="Times New Roman"/>
          <w:outline w:val="0"/>
          <w:color w:val="000000"/>
          <w:sz w:val="20"/>
          <w:szCs w:val="20"/>
          <w:shd w:val="clear" w:color="auto" w:fill="fffeff"/>
          <w:rtl w:val="0"/>
          <w:lang w:val="de-DE"/>
          <w14:textFill>
            <w14:solidFill>
              <w14:srgbClr w14:val="000000">
                <w14:alpha w14:val="14999"/>
              </w14:srgbClr>
            </w14:solidFill>
          </w14:textFill>
        </w:rPr>
        <w:t xml:space="preserve">Sonnet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и приближно </w:t>
      </w:r>
      <w:r>
        <w:rPr>
          <w:rFonts w:ascii="Times New Roman" w:hAnsi="Times New Roman"/>
          <w:outline w:val="0"/>
          <w:color w:val="000000"/>
          <w:sz w:val="20"/>
          <w:szCs w:val="20"/>
          <w:shd w:val="clear" w:color="auto" w:fill="fffeff"/>
          <w:rtl w:val="0"/>
          <w14:textFill>
            <w14:solidFill>
              <w14:srgbClr w14:val="000000">
                <w14:alpha w14:val="14999"/>
              </w14:srgbClr>
            </w14:solidFill>
          </w14:textFill>
        </w:rPr>
        <w:t xml:space="preserve">4 USD </w:t>
      </w:r>
      <w:r>
        <w:rPr>
          <w:rFonts w:ascii="Times New Roman" w:hAnsi="Times New Roman" w:hint="default"/>
          <w:outline w:val="0"/>
          <w:color w:val="000000"/>
          <w:sz w:val="20"/>
          <w:szCs w:val="20"/>
          <w:shd w:val="clear" w:color="auto" w:fill="fffeff"/>
          <w:rtl w:val="0"/>
          <w14:textFill>
            <w14:solidFill>
              <w14:srgbClr w14:val="000000">
                <w14:alpha w14:val="14999"/>
              </w14:srgbClr>
            </w14:solidFill>
          </w14:textFill>
        </w:rPr>
        <w:t xml:space="preserve">за </w:t>
      </w:r>
      <w:r>
        <w:rPr>
          <w:rFonts w:ascii="Times New Roman" w:hAnsi="Times New Roman"/>
          <w:outline w:val="0"/>
          <w:color w:val="000000"/>
          <w:sz w:val="20"/>
          <w:szCs w:val="20"/>
          <w:shd w:val="clear" w:color="auto" w:fill="fffeff"/>
          <w:rtl w:val="0"/>
          <w:lang w:val="pt-PT"/>
          <w14:textFill>
            <w14:solidFill>
              <w14:srgbClr w14:val="000000">
                <w14:alpha w14:val="14999"/>
              </w14:srgbClr>
            </w14:solidFill>
          </w14:textFill>
        </w:rPr>
        <w:t>Opus.</w:t>
      </w:r>
    </w:p>
    <w:p>
      <w:pPr>
        <w:pStyle w:val="1 - Поглавље"/>
        <w:numPr>
          <w:ilvl w:val="0"/>
          <w:numId w:val="2"/>
        </w:numPr>
      </w:pPr>
      <w:r>
        <w:rPr>
          <w:rtl w:val="0"/>
        </w:rPr>
        <w:t xml:space="preserve"> РЕЗУЛТАТИ</w:t>
      </w:r>
    </w:p>
    <w:p>
      <w:pPr>
        <w:pStyle w:val="Default"/>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suppressAutoHyphens w:val="1"/>
        <w:spacing w:before="0" w:line="240" w:lineRule="auto"/>
        <w:jc w:val="left"/>
        <w:rPr>
          <w:rFonts w:ascii="Times New Roman" w:cs="Times New Roman" w:hAnsi="Times New Roman" w:eastAsia="Times New Roman"/>
          <w:outline w:val="0"/>
          <w:color w:val="000000"/>
          <w:sz w:val="20"/>
          <w:szCs w:val="20"/>
          <w:shd w:val="clear" w:color="auto" w:fill="fffeff"/>
          <w14:textFill>
            <w14:solidFill>
              <w14:srgbClr w14:val="000000">
                <w14:alpha w14:val="14999"/>
              </w14:srgbClr>
            </w14:solidFill>
          </w14:textFill>
        </w:rPr>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sectPr>
          <w:type w:val="continuous"/>
          <w:pgSz w:w="11900" w:h="16840" w:orient="portrait"/>
          <w:pgMar w:top="1134" w:right="1134" w:bottom="1134" w:left="1134" w:header="708" w:footer="708"/>
          <w:cols w:space="284" w:num="2" w:equalWidth="1"/>
          <w:bidi w:val="0"/>
        </w:sectPr>
      </w:pPr>
      <w:r/>
    </w:p>
    <w:p>
      <w:pPr>
        <w:pStyle w:val="Body"/>
        <w:ind w:firstLine="0"/>
        <w:sectPr>
          <w:type w:val="continuous"/>
          <w:pgSz w:w="11900" w:h="16840" w:orient="portrait"/>
          <w:pgMar w:top="1134" w:right="1134" w:bottom="1134" w:left="1134" w:header="708" w:footer="708"/>
          <w:bidi w:val="0"/>
        </w:sectPr>
      </w:pPr>
      <w:r/>
    </w:p>
    <w:p>
      <w:pPr>
        <w:pStyle w:val="caption"/>
        <w:keepNext w:val="1"/>
        <w:ind w:firstLine="0"/>
        <w:jc w:val="both"/>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0 - Текст рада"/>
      </w:pPr>
    </w:p>
    <w:p>
      <w:pPr>
        <w:pStyle w:val="1 - Поглавље"/>
        <w:numPr>
          <w:ilvl w:val="0"/>
          <w:numId w:val="6"/>
        </w:numPr>
        <w:bidi w:val="0"/>
        <w:ind w:right="0"/>
        <w:jc w:val="left"/>
        <w:rPr>
          <w:rtl w:val="0"/>
        </w:rPr>
      </w:pPr>
      <w:r>
        <w:rPr>
          <w:rtl w:val="0"/>
        </w:rPr>
        <w:t>ЗАКЉУЧАК</w:t>
      </w:r>
    </w:p>
    <w:p>
      <w:pPr>
        <w:pStyle w:val="0 - Текст рада"/>
      </w:pPr>
      <w:r>
        <w:rPr>
          <w:rtl w:val="0"/>
          <w:lang w:val="ru-RU"/>
        </w:rPr>
        <w:t xml:space="preserve">Драги Аутори </w:t>
      </w:r>
      <w:r>
        <w:rPr>
          <w:rtl w:val="0"/>
        </w:rPr>
        <w:t>(</w:t>
      </w:r>
      <w:r>
        <w:rPr>
          <w:rtl w:val="0"/>
        </w:rPr>
        <w:t>Мастеранти</w:t>
      </w:r>
      <w:r>
        <w:rPr>
          <w:rtl w:val="0"/>
        </w:rPr>
        <w:t xml:space="preserve">) </w:t>
      </w:r>
      <w:r>
        <w:rPr>
          <w:rtl w:val="0"/>
        </w:rPr>
        <w:t>и Ментори</w:t>
      </w:r>
      <w:r>
        <w:rPr>
          <w:rtl w:val="0"/>
        </w:rPr>
        <w:t xml:space="preserve">, </w:t>
      </w:r>
      <w:r>
        <w:rPr>
          <w:rtl w:val="0"/>
        </w:rPr>
        <w:t>у заједничком је интересу да поштујемо наведена упутства како би читав поступак прихватања рада у Зборнику</w:t>
      </w:r>
      <w:r>
        <w:rPr>
          <w:rtl w:val="0"/>
        </w:rPr>
        <w:t xml:space="preserve">, </w:t>
      </w:r>
      <w:r>
        <w:rPr>
          <w:rtl w:val="0"/>
        </w:rPr>
        <w:t>одбрана мастер рада</w:t>
      </w:r>
      <w:r>
        <w:rPr>
          <w:rtl w:val="0"/>
        </w:rPr>
        <w:t xml:space="preserve">, </w:t>
      </w:r>
      <w:r>
        <w:rPr>
          <w:rtl w:val="0"/>
        </w:rPr>
        <w:t>објављивање рада и дипломирање било урађено правовремено и делотворно</w:t>
      </w:r>
      <w:r>
        <w:rPr>
          <w:rtl w:val="0"/>
        </w:rPr>
        <w:t xml:space="preserve">. </w:t>
      </w:r>
    </w:p>
    <w:p>
      <w:pPr>
        <w:pStyle w:val="0 - Текст рада"/>
      </w:pPr>
      <w:r>
        <w:rPr>
          <w:rtl w:val="0"/>
        </w:rPr>
        <w:t>Радујемо се успешној сарадњи и новим мастер дипломама</w:t>
      </w:r>
      <w:r>
        <w:rPr>
          <w:rtl w:val="0"/>
        </w:rPr>
        <w:t>.</w:t>
      </w:r>
    </w:p>
    <w:p>
      <w:pPr>
        <w:pStyle w:val="1 - Поглавље"/>
        <w:numPr>
          <w:ilvl w:val="0"/>
          <w:numId w:val="2"/>
        </w:numPr>
      </w:pPr>
      <w:r>
        <w:rPr>
          <w:rtl w:val="0"/>
        </w:rPr>
        <w:t>ЛИТЕРАТУРА</w:t>
      </w:r>
    </w:p>
    <w:p>
      <w:pPr>
        <w:pStyle w:val="Литература"/>
      </w:pPr>
      <w:r>
        <w:rPr>
          <w:rtl w:val="0"/>
          <w:lang w:val="pt-PT"/>
        </w:rPr>
        <w:t xml:space="preserve">[1] D. Merkel, </w:t>
      </w:r>
      <w:r>
        <w:rPr>
          <w:rtl w:val="0"/>
        </w:rPr>
        <w:t>„</w:t>
      </w:r>
      <w:r>
        <w:rPr>
          <w:rtl w:val="0"/>
          <w:lang w:val="en-US"/>
        </w:rPr>
        <w:t>Docker: lightweight linux containers for consistent development and deployment," Linux J., vol. 239, no. 2, p. 2, 2014.</w:t>
      </w:r>
    </w:p>
    <w:p>
      <w:pPr>
        <w:pStyle w:val="Литература"/>
      </w:pPr>
      <w:r>
        <w:rPr>
          <w:rtl w:val="0"/>
          <w:lang w:val="pt-PT"/>
        </w:rPr>
        <w:t xml:space="preserve">[2] X. Lin, L. Lei, Y. Wang, J. Jing, K. Sun, i Q. Zhou, </w:t>
      </w:r>
      <w:r>
        <w:rPr>
          <w:rtl w:val="0"/>
        </w:rPr>
        <w:t>„</w:t>
      </w:r>
      <w:r>
        <w:rPr>
          <w:rtl w:val="0"/>
          <w:lang w:val="en-US"/>
        </w:rPr>
        <w:t xml:space="preserve">A measurement study on linux container security: Attacks and countermeasures," </w:t>
      </w:r>
      <w:r>
        <w:rPr>
          <w:rtl w:val="0"/>
          <w:lang w:val="ru-RU"/>
        </w:rPr>
        <w:t xml:space="preserve">у </w:t>
      </w:r>
      <w:r>
        <w:rPr>
          <w:rtl w:val="0"/>
          <w:lang w:val="en-US"/>
        </w:rPr>
        <w:t>Proc. 34th Annual Computer Security Applications Conference (ACSAC), 2018, str. 418</w:t>
      </w:r>
      <w:r>
        <w:rPr>
          <w:rtl w:val="0"/>
        </w:rPr>
        <w:t>–</w:t>
      </w:r>
      <w:r>
        <w:rPr>
          <w:rtl w:val="0"/>
        </w:rPr>
        <w:t>429.</w:t>
      </w:r>
    </w:p>
    <w:p>
      <w:pPr>
        <w:pStyle w:val="Литература"/>
      </w:pPr>
      <w:r>
        <w:rPr>
          <w:rtl w:val="0"/>
          <w:lang w:val="it-IT"/>
        </w:rPr>
        <w:t xml:space="preserve">[3] M. Reeves, D. J. Tian, A. Bianchi, i Z. B. Celik, </w:t>
      </w:r>
      <w:r>
        <w:rPr>
          <w:rtl w:val="0"/>
        </w:rPr>
        <w:t>„</w:t>
      </w:r>
      <w:r>
        <w:rPr>
          <w:rtl w:val="0"/>
          <w:lang w:val="en-US"/>
        </w:rPr>
        <w:t xml:space="preserve">Towards improving container security by preventing runtime escapes," </w:t>
      </w:r>
      <w:r>
        <w:rPr>
          <w:rtl w:val="0"/>
          <w:lang w:val="ru-RU"/>
        </w:rPr>
        <w:t xml:space="preserve">у </w:t>
      </w:r>
      <w:r>
        <w:rPr>
          <w:rtl w:val="0"/>
          <w:lang w:val="en-US"/>
        </w:rPr>
        <w:t>2021 IEEE Secure Development Conference (SecDev), 2021, str. 38</w:t>
      </w:r>
      <w:r>
        <w:rPr>
          <w:rtl w:val="0"/>
        </w:rPr>
        <w:t>–</w:t>
      </w:r>
      <w:r>
        <w:rPr>
          <w:rtl w:val="0"/>
        </w:rPr>
        <w:t>46.</w:t>
      </w:r>
    </w:p>
    <w:p>
      <w:pPr>
        <w:pStyle w:val="Литература"/>
      </w:pPr>
      <w:r>
        <w:rPr>
          <w:rtl w:val="0"/>
          <w:lang w:val="it-IT"/>
        </w:rPr>
        <w:t xml:space="preserve">[4] S. Yao, J. Zhao, D. Yu, N. Du, I. Shafran, K. Narasimhan, i Y. Cao, </w:t>
      </w:r>
      <w:r>
        <w:rPr>
          <w:rtl w:val="0"/>
        </w:rPr>
        <w:t>„</w:t>
      </w:r>
      <w:r>
        <w:rPr>
          <w:rtl w:val="0"/>
          <w:lang w:val="en-US"/>
        </w:rPr>
        <w:t>ReAct: Synergizing reasoning and acting in language models," arXiv preprint arXiv:2210.03629, 2022.</w:t>
      </w:r>
    </w:p>
    <w:p>
      <w:pPr>
        <w:pStyle w:val="Литература"/>
      </w:pPr>
      <w:r>
        <w:rPr>
          <w:rtl w:val="0"/>
        </w:rPr>
        <w:t xml:space="preserve">[5] L. Wang, C. Ma, X. Feng i dr., </w:t>
      </w:r>
      <w:r>
        <w:rPr>
          <w:rtl w:val="0"/>
        </w:rPr>
        <w:t>„</w:t>
      </w:r>
      <w:r>
        <w:rPr>
          <w:rtl w:val="0"/>
          <w:lang w:val="en-US"/>
        </w:rPr>
        <w:t>A survey on large language model based autonomous agents," Frontiers of Computer Science, vol. 18, no. 6, str. 186345, 2024.</w:t>
      </w:r>
    </w:p>
    <w:p>
      <w:pPr>
        <w:pStyle w:val="Литература"/>
      </w:pPr>
      <w:r>
        <w:rPr>
          <w:rtl w:val="0"/>
        </w:rPr>
        <w:t xml:space="preserve">[6] R. Fang, R. Bindu, A. Gupta, Q. Zhan, i D. Kang, </w:t>
      </w:r>
      <w:r>
        <w:rPr>
          <w:rtl w:val="0"/>
        </w:rPr>
        <w:t>„</w:t>
      </w:r>
      <w:r>
        <w:rPr>
          <w:rtl w:val="0"/>
          <w:lang w:val="en-US"/>
        </w:rPr>
        <w:t>LLM agents can autonomously hack websites," arXiv preprint arXiv:2402.06664, 2024.</w:t>
      </w:r>
    </w:p>
    <w:p>
      <w:pPr>
        <w:pStyle w:val="Литература"/>
      </w:pPr>
      <w:r>
        <w:rPr>
          <w:rtl w:val="0"/>
        </w:rPr>
        <w:t xml:space="preserve">[7] Y. Zhu, A. Kellermann, A. Gupta, P. Li, R. Fang, R. Bindu, i D. Kang, </w:t>
      </w:r>
      <w:r>
        <w:rPr>
          <w:rtl w:val="0"/>
        </w:rPr>
        <w:t>„</w:t>
      </w:r>
      <w:r>
        <w:rPr>
          <w:rtl w:val="0"/>
          <w:lang w:val="en-US"/>
        </w:rPr>
        <w:t xml:space="preserve">Teams of LLM agents can exploit zero-day vulnerabilities," </w:t>
      </w:r>
      <w:r>
        <w:rPr>
          <w:rtl w:val="0"/>
          <w:lang w:val="ru-RU"/>
        </w:rPr>
        <w:t xml:space="preserve">у </w:t>
      </w:r>
      <w:r>
        <w:rPr>
          <w:rtl w:val="0"/>
          <w:lang w:val="en-US"/>
        </w:rPr>
        <w:t>Proc. 19th Conference of the European Chapter of the Association for Computational Linguistics (EACL), 2026, str. 23</w:t>
      </w:r>
      <w:r>
        <w:rPr>
          <w:rtl w:val="0"/>
        </w:rPr>
        <w:t>–</w:t>
      </w:r>
      <w:r>
        <w:rPr>
          <w:rtl w:val="0"/>
        </w:rPr>
        <w:t>35.</w:t>
      </w:r>
    </w:p>
    <w:p>
      <w:pPr>
        <w:pStyle w:val="Литература"/>
      </w:pPr>
      <w:r>
        <w:rPr>
          <w:rtl w:val="0"/>
          <w:lang w:val="en-US"/>
        </w:rPr>
        <w:t xml:space="preserve">[8] </w:t>
      </w:r>
      <w:r>
        <w:rPr>
          <w:rtl w:val="0"/>
          <w:lang w:val="fr-FR"/>
        </w:rPr>
        <w:t xml:space="preserve">S. Yao et al., </w:t>
      </w:r>
      <w:r>
        <w:rPr>
          <w:rtl w:val="0"/>
        </w:rPr>
        <w:t>„</w:t>
      </w:r>
      <w:r>
        <w:rPr>
          <w:rtl w:val="0"/>
          <w:lang w:val="en-US"/>
        </w:rPr>
        <w:t xml:space="preserve">ReAct: Synergizing reasoning and acting in language models," </w:t>
      </w:r>
      <w:r>
        <w:rPr>
          <w:outline w:val="0"/>
          <w:color w:val="937000"/>
          <w:rtl w:val="0"/>
          <w14:textFill>
            <w14:solidFill>
              <w14:srgbClr w14:val="947100"/>
            </w14:solidFill>
          </w14:textFill>
        </w:rPr>
        <w:t>*</w:t>
      </w:r>
      <w:r>
        <w:rPr>
          <w:i w:val="1"/>
          <w:iCs w:val="1"/>
          <w:rtl w:val="0"/>
        </w:rPr>
        <w:t>arXiv:2210.03629</w:t>
      </w:r>
      <w:r>
        <w:rPr>
          <w:outline w:val="0"/>
          <w:color w:val="937000"/>
          <w:rtl w:val="0"/>
          <w14:textFill>
            <w14:solidFill>
              <w14:srgbClr w14:val="947100"/>
            </w14:solidFill>
          </w14:textFill>
        </w:rPr>
        <w:t>*</w:t>
      </w:r>
      <w:r>
        <w:rPr>
          <w:rtl w:val="0"/>
        </w:rPr>
        <w:t>, 2022.</w:t>
      </w:r>
    </w:p>
    <w:p>
      <w:pPr>
        <w:pStyle w:val="Литература"/>
      </w:pPr>
      <w:r>
        <w:rPr>
          <w:rtl w:val="0"/>
          <w:lang w:val="en-US"/>
        </w:rPr>
        <w:t xml:space="preserve">[9] </w:t>
      </w:r>
      <w:r>
        <w:rPr>
          <w:rtl w:val="0"/>
          <w:lang w:val="it-IT"/>
        </w:rPr>
        <w:t xml:space="preserve">A. Happe i J. Cito, </w:t>
      </w:r>
      <w:r>
        <w:rPr>
          <w:rtl w:val="0"/>
        </w:rPr>
        <w:t>„</w:t>
      </w:r>
      <w:r>
        <w:rPr>
          <w:rtl w:val="0"/>
          <w:lang w:val="en-US"/>
        </w:rPr>
        <w:t xml:space="preserve">Getting pwn'd by AI: Penetration </w:t>
      </w:r>
      <w:r>
        <w:rPr>
          <w:rtl w:val="0"/>
          <w:lang w:val="en-US"/>
        </w:rPr>
        <w:t xml:space="preserve">           </w:t>
      </w:r>
      <w:r>
        <w:rPr>
          <w:rtl w:val="0"/>
          <w:lang w:val="en-US"/>
        </w:rPr>
        <w:t xml:space="preserve">testing with large language models," </w:t>
      </w:r>
      <w:r>
        <w:rPr>
          <w:rtl w:val="0"/>
          <w:lang w:val="ru-RU"/>
        </w:rPr>
        <w:t xml:space="preserve">у </w:t>
      </w:r>
      <w:r>
        <w:rPr>
          <w:outline w:val="0"/>
          <w:color w:val="937000"/>
          <w:rtl w:val="0"/>
          <w14:textFill>
            <w14:solidFill>
              <w14:srgbClr w14:val="947100"/>
            </w14:solidFill>
          </w14:textFill>
        </w:rPr>
        <w:t>*</w:t>
      </w:r>
      <w:r>
        <w:rPr>
          <w:i w:val="1"/>
          <w:iCs w:val="1"/>
          <w:rtl w:val="0"/>
          <w:lang w:val="pt-PT"/>
        </w:rPr>
        <w:t>Proc. ESEC/FSE</w:t>
      </w:r>
      <w:r>
        <w:rPr>
          <w:outline w:val="0"/>
          <w:color w:val="937000"/>
          <w:rtl w:val="0"/>
          <w14:textFill>
            <w14:solidFill>
              <w14:srgbClr w14:val="947100"/>
            </w14:solidFill>
          </w14:textFill>
        </w:rPr>
        <w:t>*</w:t>
      </w:r>
      <w:r>
        <w:rPr>
          <w:rtl w:val="0"/>
        </w:rPr>
        <w:t>, 2023.</w:t>
      </w:r>
    </w:p>
    <w:p>
      <w:pPr>
        <w:pStyle w:val="Литература"/>
      </w:pPr>
      <w:r>
        <w:rPr>
          <w:rtl w:val="0"/>
          <w:lang w:val="en-US"/>
        </w:rPr>
        <w:t>[10]</w:t>
      </w:r>
      <w:r>
        <w:rPr>
          <w:outline w:val="0"/>
          <w:color w:val="000000"/>
          <w:rtl w:val="0"/>
          <w:lang w:val="en-US"/>
          <w14:textFill>
            <w14:solidFill>
              <w14:srgbClr w14:val="000000">
                <w14:alpha w14:val="14999"/>
              </w14:srgbClr>
            </w14:solidFill>
          </w14:textFill>
        </w:rPr>
        <w:t xml:space="preserve"> Anthropic, </w:t>
      </w:r>
      <w:r>
        <w:rPr>
          <w:outline w:val="0"/>
          <w:color w:val="000000"/>
          <w:rtl w:val="0"/>
          <w14:textFill>
            <w14:solidFill>
              <w14:srgbClr w14:val="000000">
                <w14:alpha w14:val="14999"/>
              </w14:srgbClr>
            </w14:solidFill>
          </w14:textFill>
        </w:rPr>
        <w:t>„</w:t>
      </w:r>
      <w:r>
        <w:rPr>
          <w:outline w:val="0"/>
          <w:color w:val="000000"/>
          <w:rtl w:val="0"/>
          <w:lang w:val="en-US"/>
          <w14:textFill>
            <w14:solidFill>
              <w14:srgbClr w14:val="000000">
                <w14:alpha w14:val="14999"/>
              </w14:srgbClr>
            </w14:solidFill>
          </w14:textFill>
        </w:rPr>
        <w:t xml:space="preserve">Claude Models," 2025. </w:t>
      </w:r>
      <w:r>
        <w:rPr>
          <w:outline w:val="0"/>
          <w:color w:val="937000"/>
          <w:rtl w:val="0"/>
          <w:lang w:val="pt-PT"/>
          <w14:textFill>
            <w14:solidFill>
              <w14:srgbClr w14:val="947100"/>
            </w14:solidFill>
          </w14:textFill>
        </w:rPr>
        <w:t>[</w:t>
      </w:r>
      <w:r>
        <w:rPr>
          <w:outline w:val="0"/>
          <w:color w:val="d12e1b"/>
          <w:rtl w:val="0"/>
          <w:lang w:val="de-DE"/>
          <w14:textFill>
            <w14:solidFill>
              <w14:srgbClr w14:val="D12F1B"/>
            </w14:solidFill>
          </w14:textFill>
        </w:rPr>
        <w:t>Online</w:t>
      </w:r>
      <w:r>
        <w:rPr>
          <w:outline w:val="0"/>
          <w:color w:val="937000"/>
          <w:rtl w:val="0"/>
          <w:lang w:val="pt-PT"/>
          <w14:textFill>
            <w14:solidFill>
              <w14:srgbClr w14:val="947100"/>
            </w14:solidFill>
          </w14:textFill>
        </w:rPr>
        <w:t>]</w:t>
      </w:r>
      <w:r>
        <w:rPr>
          <w:outline w:val="0"/>
          <w:color w:val="000000"/>
          <w:rtl w:val="0"/>
          <w14:textFill>
            <w14:solidFill>
              <w14:srgbClr w14:val="000000">
                <w14:alpha w14:val="14999"/>
              </w14:srgbClr>
            </w14:solidFill>
          </w14:textFill>
        </w:rPr>
        <w:t xml:space="preserve">. </w:t>
      </w:r>
      <w:r>
        <w:rPr>
          <w:outline w:val="0"/>
          <w:color w:val="000000"/>
          <w:rtl w:val="0"/>
          <w:lang w:val="en-US"/>
          <w14:textFill>
            <w14:solidFill>
              <w14:srgbClr w14:val="000000">
                <w14:alpha w14:val="14999"/>
              </w14:srgbClr>
            </w14:solidFill>
          </w14:textFill>
        </w:rPr>
        <w:t xml:space="preserve">  </w:t>
      </w:r>
      <w:r>
        <w:rPr>
          <w:outline w:val="0"/>
          <w:color w:val="000000"/>
          <w:rtl w:val="0"/>
          <w14:textFill>
            <w14:solidFill>
              <w14:srgbClr w14:val="000000">
                <w14:alpha w14:val="14999"/>
              </w14:srgbClr>
            </w14:solidFill>
          </w14:textFill>
        </w:rPr>
        <w:t>п</w:t>
      </w:r>
      <w:r>
        <w:rPr>
          <w:outline w:val="0"/>
          <w:color w:val="000000"/>
          <w:rtl w:val="0"/>
          <w14:textFill>
            <w14:solidFill>
              <w14:srgbClr w14:val="000000">
                <w14:alpha w14:val="14999"/>
              </w14:srgbClr>
            </w14:solidFill>
          </w14:textFill>
        </w:rPr>
        <w:t xml:space="preserve">: </w:t>
      </w:r>
      <w:r>
        <w:rPr>
          <w:rtl w:val="0"/>
          <w:lang w:val="en-US"/>
        </w:rPr>
        <w:t>https://docs.anthropic.com/en/docs/about-claude/models</w:t>
      </w:r>
    </w:p>
    <w:p>
      <w:pPr>
        <w:pStyle w:val="Лабеле (кључне речи"/>
      </w:pPr>
      <w:r>
        <w:rPr>
          <w:rtl w:val="0"/>
        </w:rPr>
        <w:t>Кратка биографија</w:t>
      </w:r>
      <w:r>
        <w:rPr>
          <w:rtl w:val="0"/>
        </w:rPr>
        <w:t>:</w:t>
      </w:r>
    </w:p>
    <w:tbl>
      <w:tblPr>
        <w:tblW w:w="4569"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64"/>
        <w:gridCol w:w="3005"/>
      </w:tblGrid>
      <w:tr>
        <w:tblPrEx>
          <w:shd w:val="clear" w:color="auto" w:fill="ced7e7"/>
        </w:tblPrEx>
        <w:trPr>
          <w:trHeight w:val="2392" w:hRule="atLeast"/>
        </w:trPr>
        <w:tc>
          <w:tcPr>
            <w:tcW w:type="dxa" w:w="1564"/>
            <w:tcBorders>
              <w:top w:val="nil"/>
              <w:left w:val="nil"/>
              <w:bottom w:val="nil"/>
              <w:right w:val="nil"/>
            </w:tcBorders>
            <w:shd w:val="clear" w:color="auto" w:fill="auto"/>
            <w:tcMar>
              <w:top w:type="dxa" w:w="80"/>
              <w:left w:type="dxa" w:w="80"/>
              <w:bottom w:type="dxa" w:w="80"/>
              <w:right w:type="dxa" w:w="80"/>
            </w:tcMar>
            <w:vAlign w:val="top"/>
          </w:tcPr>
          <w:p>
            <w:pPr>
              <w:pStyle w:val="Body"/>
              <w:rPr>
                <w:sz w:val="18"/>
                <w:szCs w:val="18"/>
                <w:shd w:val="nil" w:color="auto" w:fill="auto"/>
              </w:rPr>
            </w:pPr>
            <w:r>
              <w:rPr>
                <w:sz w:val="18"/>
                <w:szCs w:val="18"/>
                <w:shd w:val="nil" w:color="auto" w:fill="auto"/>
                <w:rtl w:val="0"/>
              </w:rPr>
              <w:t xml:space="preserve">Фотографија аутора </w:t>
            </w:r>
            <w:r>
              <w:rPr>
                <w:sz w:val="18"/>
                <w:szCs w:val="18"/>
                <w:shd w:val="nil" w:color="auto" w:fill="auto"/>
                <w:rtl w:val="0"/>
              </w:rPr>
              <w:t>(</w:t>
            </w:r>
            <w:r>
              <w:rPr>
                <w:sz w:val="18"/>
                <w:szCs w:val="18"/>
                <w:shd w:val="nil" w:color="auto" w:fill="auto"/>
                <w:rtl w:val="0"/>
              </w:rPr>
              <w:t>пожељно</w:t>
            </w:r>
            <w:r>
              <w:rPr>
                <w:sz w:val="18"/>
                <w:szCs w:val="18"/>
                <w:shd w:val="nil" w:color="auto" w:fill="auto"/>
                <w:rtl w:val="0"/>
              </w:rPr>
              <w:t>)</w:t>
            </w:r>
          </w:p>
          <w:p>
            <w:pPr>
              <w:pStyle w:val="Body"/>
              <w:bidi w:val="0"/>
              <w:ind w:left="0" w:right="0" w:firstLine="360"/>
              <w:jc w:val="both"/>
              <w:rPr>
                <w:sz w:val="18"/>
                <w:szCs w:val="18"/>
                <w:shd w:val="nil" w:color="auto" w:fill="auto"/>
                <w:rtl w:val="0"/>
              </w:rPr>
            </w:pPr>
            <w:r>
              <w:rPr>
                <w:i w:val="1"/>
                <w:iCs w:val="1"/>
                <w:sz w:val="18"/>
                <w:szCs w:val="18"/>
                <w:shd w:val="nil" w:color="auto" w:fill="auto"/>
                <w:rtl w:val="0"/>
                <w:lang w:val="en-US"/>
              </w:rPr>
              <w:t>W</w:t>
            </w:r>
            <w:r>
              <w:rPr>
                <w:i w:val="1"/>
                <w:iCs w:val="1"/>
                <w:sz w:val="18"/>
                <w:szCs w:val="18"/>
                <w:shd w:val="nil" w:color="auto" w:fill="auto"/>
                <w:rtl w:val="0"/>
                <w:lang w:val="da-DK"/>
              </w:rPr>
              <w:t>idth</w:t>
            </w:r>
            <w:r>
              <w:rPr>
                <w:sz w:val="18"/>
                <w:szCs w:val="18"/>
                <w:shd w:val="nil" w:color="auto" w:fill="auto"/>
                <w:rtl w:val="0"/>
              </w:rPr>
              <w:t xml:space="preserve"> 2.5cm; </w:t>
            </w:r>
            <w:r>
              <w:rPr>
                <w:i w:val="1"/>
                <w:iCs w:val="1"/>
                <w:sz w:val="18"/>
                <w:szCs w:val="18"/>
                <w:shd w:val="nil" w:color="auto" w:fill="auto"/>
                <w:rtl w:val="0"/>
                <w:lang w:val="en-US"/>
              </w:rPr>
              <w:t>H</w:t>
            </w:r>
            <w:r>
              <w:rPr>
                <w:i w:val="1"/>
                <w:iCs w:val="1"/>
                <w:sz w:val="18"/>
                <w:szCs w:val="18"/>
                <w:shd w:val="nil" w:color="auto" w:fill="auto"/>
                <w:rtl w:val="0"/>
                <w:lang w:val="en-US"/>
              </w:rPr>
              <w:t>eight</w:t>
            </w:r>
            <w:r>
              <w:rPr>
                <w:sz w:val="18"/>
                <w:szCs w:val="18"/>
                <w:shd w:val="nil" w:color="auto" w:fill="auto"/>
                <w:rtl w:val="0"/>
              </w:rPr>
              <w:t xml:space="preserve">: </w:t>
            </w:r>
            <w:r>
              <w:rPr>
                <w:i w:val="1"/>
                <w:iCs w:val="1"/>
                <w:sz w:val="18"/>
                <w:szCs w:val="18"/>
                <w:shd w:val="nil" w:color="auto" w:fill="auto"/>
                <w:rtl w:val="0"/>
              </w:rPr>
              <w:t>auto</w:t>
            </w:r>
            <w:r>
              <w:rPr>
                <w:sz w:val="18"/>
                <w:szCs w:val="18"/>
                <w:shd w:val="nil" w:color="auto" w:fill="auto"/>
                <w:rtl w:val="0"/>
              </w:rPr>
              <w:t xml:space="preserve"> (</w:t>
            </w:r>
            <w:r>
              <w:rPr>
                <w:i w:val="1"/>
                <w:iCs w:val="1"/>
                <w:sz w:val="18"/>
                <w:szCs w:val="18"/>
                <w:shd w:val="nil" w:color="auto" w:fill="auto"/>
                <w:rtl w:val="0"/>
                <w:lang w:val="en-US"/>
              </w:rPr>
              <w:t>lock aspect ratio</w:t>
            </w:r>
            <w:r>
              <w:rPr>
                <w:sz w:val="18"/>
                <w:szCs w:val="18"/>
                <w:shd w:val="nil" w:color="auto" w:fill="auto"/>
                <w:rtl w:val="0"/>
              </w:rPr>
              <w:t>)</w:t>
            </w:r>
          </w:p>
          <w:p>
            <w:pPr>
              <w:pStyle w:val="Body"/>
              <w:bidi w:val="0"/>
              <w:ind w:left="0" w:right="0" w:firstLine="360"/>
              <w:jc w:val="both"/>
              <w:rPr>
                <w:rtl w:val="0"/>
              </w:rPr>
            </w:pPr>
            <w:r>
              <w:rPr>
                <w:i w:val="0"/>
                <w:iCs w:val="0"/>
                <w:sz w:val="18"/>
                <w:szCs w:val="18"/>
                <w:shd w:val="nil" w:color="auto" w:fill="auto"/>
                <w:rtl w:val="0"/>
              </w:rPr>
              <w:t>Резолуција</w:t>
            </w:r>
            <w:r>
              <w:rPr>
                <w:i w:val="0"/>
                <w:iCs w:val="0"/>
                <w:sz w:val="18"/>
                <w:szCs w:val="18"/>
                <w:shd w:val="nil" w:color="auto" w:fill="auto"/>
                <w:rtl w:val="0"/>
              </w:rPr>
              <w:t>:</w:t>
            </w:r>
            <w:r>
              <w:rPr>
                <w:i w:val="1"/>
                <w:iCs w:val="1"/>
                <w:sz w:val="18"/>
                <w:szCs w:val="18"/>
                <w:shd w:val="nil" w:color="auto" w:fill="auto"/>
                <w:rtl w:val="0"/>
              </w:rPr>
              <w:t xml:space="preserve"> </w:t>
            </w:r>
            <w:r>
              <w:rPr>
                <w:i w:val="0"/>
                <w:iCs w:val="0"/>
                <w:sz w:val="18"/>
                <w:szCs w:val="18"/>
                <w:shd w:val="nil" w:color="auto" w:fill="auto"/>
                <w:rtl w:val="0"/>
                <w:lang w:val="ru-RU"/>
              </w:rPr>
              <w:t>минимум</w:t>
            </w:r>
            <w:r>
              <w:rPr>
                <w:i w:val="1"/>
                <w:iCs w:val="1"/>
                <w:sz w:val="18"/>
                <w:szCs w:val="18"/>
                <w:shd w:val="nil" w:color="auto" w:fill="auto"/>
                <w:rtl w:val="0"/>
                <w:lang w:val="de-DE"/>
              </w:rPr>
              <w:t xml:space="preserve"> 300 dpi</w:t>
            </w:r>
          </w:p>
        </w:tc>
        <w:tc>
          <w:tcPr>
            <w:tcW w:type="dxa" w:w="3005"/>
            <w:tcBorders>
              <w:top w:val="nil"/>
              <w:left w:val="nil"/>
              <w:bottom w:val="nil"/>
              <w:right w:val="nil"/>
            </w:tcBorders>
            <w:shd w:val="clear" w:color="auto" w:fill="auto"/>
            <w:tcMar>
              <w:top w:type="dxa" w:w="80"/>
              <w:left w:type="dxa" w:w="80"/>
              <w:bottom w:type="dxa" w:w="80"/>
              <w:right w:type="dxa" w:w="80"/>
            </w:tcMar>
            <w:vAlign w:val="top"/>
          </w:tcPr>
          <w:p>
            <w:pPr>
              <w:pStyle w:val="91 - Биографија"/>
              <w:rPr>
                <w:shd w:val="nil" w:color="auto" w:fill="auto"/>
              </w:rPr>
            </w:pPr>
            <w:r>
              <w:rPr>
                <w:b w:val="1"/>
                <w:bCs w:val="1"/>
                <w:shd w:val="nil" w:color="auto" w:fill="auto"/>
                <w:rtl w:val="0"/>
              </w:rPr>
              <w:t>Марко</w:t>
            </w:r>
            <w:r>
              <w:rPr>
                <w:b w:val="1"/>
                <w:bCs w:val="1"/>
                <w:shd w:val="nil" w:color="auto" w:fill="auto"/>
                <w:rtl w:val="0"/>
              </w:rPr>
              <w:t xml:space="preserve"> </w:t>
            </w:r>
            <w:r>
              <w:rPr>
                <w:b w:val="1"/>
                <w:bCs w:val="1"/>
                <w:shd w:val="nil" w:color="auto" w:fill="auto"/>
                <w:rtl w:val="0"/>
              </w:rPr>
              <w:t>Ердељи</w:t>
            </w:r>
            <w:r>
              <w:rPr>
                <w:b w:val="1"/>
                <w:bCs w:val="1"/>
                <w:shd w:val="nil" w:color="auto" w:fill="auto"/>
                <w:rtl w:val="0"/>
              </w:rPr>
              <w:t xml:space="preserve"> </w:t>
            </w:r>
            <w:r>
              <w:rPr>
                <w:shd w:val="nil" w:color="auto" w:fill="auto"/>
                <w:rtl w:val="0"/>
                <w:lang w:val="ru-RU"/>
              </w:rPr>
              <w:t xml:space="preserve">рођен је у Новом Саду </w:t>
            </w:r>
            <w:r>
              <w:rPr>
                <w:shd w:val="nil" w:color="auto" w:fill="auto"/>
                <w:rtl w:val="0"/>
              </w:rPr>
              <w:t xml:space="preserve">2001. </w:t>
            </w:r>
            <w:r>
              <w:rPr>
                <w:shd w:val="nil" w:color="auto" w:fill="auto"/>
                <w:rtl w:val="0"/>
              </w:rPr>
              <w:t>године</w:t>
            </w:r>
            <w:r>
              <w:rPr>
                <w:shd w:val="nil" w:color="auto" w:fill="auto"/>
                <w:rtl w:val="0"/>
              </w:rPr>
              <w:t xml:space="preserve">. </w:t>
            </w:r>
            <w:r>
              <w:rPr>
                <w:shd w:val="nil" w:color="auto" w:fill="auto"/>
                <w:rtl w:val="0"/>
                <w:lang w:val="ru-RU"/>
              </w:rPr>
              <w:t xml:space="preserve">Основне академске студије завршио је </w:t>
            </w:r>
            <w:r>
              <w:rPr>
                <w:shd w:val="nil" w:color="auto" w:fill="auto"/>
                <w:rtl w:val="0"/>
                <w:lang w:val="en-US"/>
              </w:rPr>
              <w:t xml:space="preserve">2024. </w:t>
            </w:r>
            <w:r>
              <w:rPr>
                <w:shd w:val="nil" w:color="auto" w:fill="auto"/>
                <w:rtl w:val="0"/>
              </w:rPr>
              <w:t>године на Факултету техничких наука Универзитета у Новом Саду</w:t>
            </w:r>
            <w:r>
              <w:rPr>
                <w:shd w:val="nil" w:color="auto" w:fill="auto"/>
                <w:rtl w:val="0"/>
              </w:rPr>
              <w:t xml:space="preserve">, </w:t>
            </w:r>
            <w:r>
              <w:rPr>
                <w:shd w:val="nil" w:color="auto" w:fill="auto"/>
                <w:rtl w:val="0"/>
              </w:rPr>
              <w:t>на студијском програму Софтверско инжењерство и информационе технологије</w:t>
            </w:r>
            <w:r>
              <w:rPr>
                <w:shd w:val="nil" w:color="auto" w:fill="auto"/>
                <w:rtl w:val="0"/>
              </w:rPr>
              <w:t xml:space="preserve">. </w:t>
            </w:r>
            <w:r>
              <w:rPr>
                <w:shd w:val="nil" w:color="auto" w:fill="auto"/>
                <w:rtl w:val="0"/>
              </w:rPr>
              <w:t xml:space="preserve">Мастер академске студије </w:t>
            </w:r>
            <w:r>
              <w:rPr>
                <w:shd w:val="nil" w:color="auto" w:fill="auto"/>
                <w:rtl w:val="0"/>
              </w:rPr>
              <w:t>уписао</w:t>
            </w:r>
            <w:r>
              <w:rPr>
                <w:shd w:val="nil" w:color="auto" w:fill="auto"/>
                <w:rtl w:val="0"/>
                <w:lang w:val="ru-RU"/>
              </w:rPr>
              <w:t xml:space="preserve"> је </w:t>
            </w:r>
            <w:r>
              <w:rPr>
                <w:shd w:val="nil" w:color="auto" w:fill="auto"/>
                <w:rtl w:val="0"/>
              </w:rPr>
              <w:t>202</w:t>
            </w:r>
            <w:r>
              <w:rPr>
                <w:shd w:val="nil" w:color="auto" w:fill="auto"/>
                <w:rtl w:val="0"/>
              </w:rPr>
              <w:t>4</w:t>
            </w:r>
            <w:r>
              <w:rPr>
                <w:shd w:val="nil" w:color="auto" w:fill="auto"/>
                <w:rtl w:val="0"/>
              </w:rPr>
              <w:t xml:space="preserve">. </w:t>
            </w:r>
            <w:r>
              <w:rPr>
                <w:shd w:val="nil" w:color="auto" w:fill="auto"/>
                <w:rtl w:val="0"/>
              </w:rPr>
              <w:t>године на истом факултету</w:t>
            </w:r>
            <w:r>
              <w:rPr>
                <w:shd w:val="nil" w:color="auto" w:fill="auto"/>
                <w:rtl w:val="0"/>
              </w:rPr>
              <w:t xml:space="preserve"> и завршава их </w:t>
            </w:r>
            <w:r>
              <w:rPr>
                <w:shd w:val="nil" w:color="auto" w:fill="auto"/>
                <w:rtl w:val="0"/>
              </w:rPr>
              <w:t>2026</w:t>
            </w:r>
            <w:r>
              <w:rPr>
                <w:shd w:val="nil" w:color="auto" w:fill="auto"/>
                <w:rtl w:val="0"/>
              </w:rPr>
              <w:t>.</w:t>
            </w:r>
            <w:r>
              <w:rPr>
                <w:shd w:val="nil" w:color="auto" w:fill="auto"/>
                <w:rtl w:val="0"/>
              </w:rPr>
              <w:t xml:space="preserve"> г</w:t>
            </w:r>
            <w:r>
              <w:rPr>
                <w:shd w:val="nil" w:color="auto" w:fill="auto"/>
                <w:rtl w:val="0"/>
                <w:lang w:val="en-US"/>
              </w:rPr>
              <w:t>одине</w:t>
            </w:r>
            <w:r>
              <w:rPr>
                <w:shd w:val="nil" w:color="auto" w:fill="auto"/>
                <w:rtl w:val="0"/>
                <w:lang w:val="en-US"/>
              </w:rPr>
              <w:t>.</w:t>
            </w:r>
          </w:p>
          <w:p>
            <w:pPr>
              <w:pStyle w:val="91 - Биографија"/>
            </w:pPr>
            <w:r>
              <w:rPr>
                <w:b w:val="1"/>
                <w:bCs w:val="1"/>
                <w:shd w:val="nil" w:color="auto" w:fill="auto"/>
                <w:rtl w:val="0"/>
              </w:rPr>
              <w:t>Контакт</w:t>
            </w:r>
            <w:r>
              <w:rPr>
                <w:shd w:val="nil" w:color="auto" w:fill="auto"/>
                <w:rtl w:val="0"/>
              </w:rPr>
              <w:t>:</w:t>
            </w:r>
            <w:r>
              <w:rPr>
                <w:shd w:val="nil" w:color="auto" w:fill="auto"/>
                <w:rtl w:val="0"/>
              </w:rPr>
              <w:t xml:space="preserve"> </w:t>
            </w:r>
            <w:r>
              <w:rPr>
                <w:rStyle w:val="Hyperlink.0"/>
              </w:rPr>
              <w:fldChar w:fldCharType="begin" w:fldLock="0"/>
            </w:r>
            <w:r>
              <w:rPr>
                <w:rStyle w:val="Hyperlink.0"/>
              </w:rPr>
              <w:instrText xml:space="preserve"> HYPERLINK "mailto:erdeljimarko@gmail.com"</w:instrText>
            </w:r>
            <w:r>
              <w:rPr>
                <w:rStyle w:val="Hyperlink.0"/>
              </w:rPr>
              <w:fldChar w:fldCharType="separate" w:fldLock="0"/>
            </w:r>
            <w:r>
              <w:rPr>
                <w:rStyle w:val="Hyperlink.0"/>
                <w:rtl w:val="0"/>
                <w:lang w:val="en-US"/>
              </w:rPr>
              <w:t>erdeljimarko@gmail.com</w:t>
            </w:r>
            <w:r>
              <w:rPr/>
              <w:fldChar w:fldCharType="end" w:fldLock="0"/>
            </w:r>
          </w:p>
        </w:tc>
      </w:tr>
    </w:tbl>
    <w:p>
      <w:pPr>
        <w:pStyle w:val="Лабеле (кључне речи"/>
        <w:widowControl w:val="0"/>
        <w:ind w:left="108" w:hanging="108"/>
      </w:pPr>
    </w:p>
    <w:p>
      <w:pPr>
        <w:pStyle w:val="Лабеле (кључне речи"/>
        <w:widowControl w:val="0"/>
        <w:ind w:left="108" w:hanging="108"/>
      </w:pPr>
      <w:r>
        <w:rPr>
          <w:rtl w:val="0"/>
          <w:lang w:val="en-US"/>
        </w:rPr>
        <w:t xml:space="preserve"> </w:t>
      </w:r>
    </w:p>
    <w:sectPr>
      <w:type w:val="continuous"/>
      <w:pgSz w:w="11900" w:h="16840" w:orient="portrait"/>
      <w:pgMar w:top="1134" w:right="1134" w:bottom="1134" w:left="1134" w:header="708" w:footer="708"/>
      <w:cols w:space="284" w:num="2" w:equalWidth="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rial Black">
    <w:charset w:val="00"/>
    <w:family w:val="roman"/>
    <w:pitch w:val="default"/>
  </w:font>
  <w:font w:name="Menlo Regular">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nothing"/>
      <w:lvlText w:val="%1."/>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100" w:hanging="1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1.%2.%3."/>
      <w:lvlJc w:val="left"/>
      <w:pPr>
        <w:ind w:left="216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88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60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432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04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760" w:hanging="36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6480" w:hanging="28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Bullets"/>
  </w:abstractNum>
  <w:abstractNum w:abstractNumId="3">
    <w:multiLevelType w:val="hybridMultilevel"/>
    <w:styleLink w:val="Bullets"/>
    <w:lvl w:ilvl="0">
      <w:start w:val="1"/>
      <w:numFmt w:val="bullet"/>
      <w:suff w:val="tab"/>
      <w:lvlText w:val="•"/>
      <w:lvlJc w:val="left"/>
      <w:pPr>
        <w:ind w:left="158" w:hanging="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1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7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13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19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25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31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37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43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593"/>
            <w:tab w:val="left" w:pos="1186"/>
            <w:tab w:val="left" w:pos="1779"/>
            <w:tab w:val="left" w:pos="2372"/>
            <w:tab w:val="left" w:pos="2965"/>
            <w:tab w:val="left" w:pos="3558"/>
            <w:tab w:val="left" w:pos="4151"/>
            <w:tab w:val="left" w:pos="4744"/>
            <w:tab w:val="left" w:pos="5337"/>
            <w:tab w:val="left" w:pos="5930"/>
            <w:tab w:val="left" w:pos="6523"/>
            <w:tab w:val="left" w:pos="7116"/>
            <w:tab w:val="left" w:pos="7709"/>
            <w:tab w:val="left" w:pos="8302"/>
            <w:tab w:val="left" w:pos="8895"/>
            <w:tab w:val="left" w:pos="9488"/>
          </w:tabs>
          <w:ind w:left="4958" w:hanging="158"/>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startOverride w:val="3"/>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9 - Заглавље">
    <w:name w:val="9 - Заглавље"/>
    <w:next w:val="9 - Заглавље"/>
    <w:pPr>
      <w:keepNext w:val="0"/>
      <w:keepLines w:val="0"/>
      <w:pageBreakBefore w:val="0"/>
      <w:widowControl w:val="1"/>
      <w:shd w:val="clear" w:color="auto" w:fill="auto"/>
      <w:suppressAutoHyphens w:val="0"/>
      <w:bidi w:val="0"/>
      <w:spacing w:before="120" w:after="0" w:line="240" w:lineRule="auto"/>
      <w:ind w:left="0" w:right="0" w:firstLine="0"/>
      <w:jc w:val="left"/>
      <w:outlineLvl w:val="9"/>
    </w:pPr>
    <w:rPr>
      <w:rFonts w:ascii="Arial Black" w:cs="Arial Unicode MS" w:hAnsi="Arial Black" w:eastAsia="Arial Unicode MS" w:hint="default"/>
      <w:b w:val="0"/>
      <w:bCs w:val="0"/>
      <w:i w:val="0"/>
      <w:iCs w:val="0"/>
      <w:caps w:val="0"/>
      <w:smallCaps w:val="0"/>
      <w:strike w:val="0"/>
      <w:dstrike w:val="0"/>
      <w:outline w:val="0"/>
      <w:color w:val="000000"/>
      <w:spacing w:val="0"/>
      <w:kern w:val="0"/>
      <w:position w:val="0"/>
      <w:sz w:val="26"/>
      <w:szCs w:val="26"/>
      <w:u w:val="none" w:color="000000"/>
      <w:shd w:val="nil" w:color="auto" w:fill="auto"/>
      <w:vertAlign w:val="baseline"/>
      <w14:textFill>
        <w14:solidFill>
          <w14:srgbClr w14:val="000000"/>
        </w14:solidFill>
      </w14:textFill>
    </w:rPr>
  </w:style>
  <w:style w:type="paragraph" w:styleId="5 - УДК и ДОИ">
    <w:name w:val="5 - УДК и ДОИ"/>
    <w:next w:val="5 - УДК и ДОИ"/>
    <w:pPr>
      <w:keepNext w:val="0"/>
      <w:keepLines w:val="0"/>
      <w:pageBreakBefore w:val="0"/>
      <w:widowControl w:val="1"/>
      <w:shd w:val="clear" w:color="auto" w:fill="auto"/>
      <w:suppressAutoHyphens w:val="0"/>
      <w:bidi w:val="0"/>
      <w:spacing w:before="120" w:after="0" w:line="240" w:lineRule="auto"/>
      <w:ind w:left="0" w:right="0" w:firstLine="360"/>
      <w:jc w:val="righ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6 - Наслов рада">
    <w:name w:val="6 - Наслов рада"/>
    <w:next w:val="6 - Наслов рада"/>
    <w:pPr>
      <w:keepNext w:val="0"/>
      <w:keepLines w:val="0"/>
      <w:pageBreakBefore w:val="0"/>
      <w:widowControl w:val="1"/>
      <w:shd w:val="clear" w:color="auto" w:fill="auto"/>
      <w:suppressAutoHyphens w:val="0"/>
      <w:bidi w:val="0"/>
      <w:spacing w:before="120" w:after="0" w:line="240" w:lineRule="auto"/>
      <w:ind w:left="0" w:right="0" w:firstLine="360"/>
      <w:jc w:val="center"/>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Fill>
        <w14:solidFill>
          <w14:srgbClr w14:val="000000"/>
        </w14:solidFill>
      </w14:textFill>
    </w:rPr>
  </w:style>
  <w:style w:type="paragraph" w:styleId="4 - Autori">
    <w:name w:val="4 - Autori"/>
    <w:next w:val="4 - Autori"/>
    <w:pPr>
      <w:keepNext w:val="0"/>
      <w:keepLines w:val="0"/>
      <w:pageBreakBefore w:val="0"/>
      <w:widowControl w:val="1"/>
      <w:shd w:val="clear" w:color="auto" w:fill="auto"/>
      <w:suppressAutoHyphens w:val="0"/>
      <w:bidi w:val="0"/>
      <w:spacing w:before="240" w:after="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Fill>
        <w14:solidFill>
          <w14:srgbClr w14:val="000000"/>
        </w14:solidFill>
      </w14:textFill>
    </w:rPr>
  </w:style>
  <w:style w:type="paragraph" w:styleId="Лабеле (кључне речи">
    <w:name w:val="Лабеле (кључне речи"/>
    <w:next w:val="Лабеле (кључне речи"/>
    <w:pPr>
      <w:keepNext w:val="0"/>
      <w:keepLines w:val="0"/>
      <w:pageBreakBefore w:val="0"/>
      <w:widowControl w:val="1"/>
      <w:shd w:val="clear" w:color="auto" w:fill="auto"/>
      <w:suppressAutoHyphens w:val="0"/>
      <w:bidi w:val="0"/>
      <w:spacing w:before="120" w:after="120" w:line="240" w:lineRule="auto"/>
      <w:ind w:left="0" w:right="0" w:firstLine="36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paragraph" w:styleId="8 - Напомена">
    <w:name w:val="8 - Напомена"/>
    <w:next w:val="8 - Напомена"/>
    <w:pPr>
      <w:keepNext w:val="0"/>
      <w:keepLines w:val="0"/>
      <w:pageBreakBefore w:val="0"/>
      <w:widowControl w:val="1"/>
      <w:shd w:val="clear" w:color="auto" w:fill="auto"/>
      <w:suppressAutoHyphens w:val="0"/>
      <w:bidi w:val="0"/>
      <w:spacing w:before="120" w:after="0" w:line="240" w:lineRule="auto"/>
      <w:ind w:left="0" w:right="0" w:firstLine="36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1 - Поглавље">
    <w:name w:val="1 - Поглавље"/>
    <w:next w:val="1 - Поглавље"/>
    <w:pPr>
      <w:keepNext w:val="0"/>
      <w:keepLines w:val="0"/>
      <w:pageBreakBefore w:val="0"/>
      <w:widowControl w:val="1"/>
      <w:shd w:val="clear" w:color="auto" w:fill="auto"/>
      <w:suppressAutoHyphens w:val="0"/>
      <w:bidi w:val="0"/>
      <w:spacing w:before="240" w:after="240" w:line="240" w:lineRule="auto"/>
      <w:ind w:left="0" w:right="0" w:firstLine="0"/>
      <w:jc w:val="left"/>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Imported Style 1">
    <w:name w:val="Imported Style 1"/>
    <w:pPr>
      <w:numPr>
        <w:numId w:val="1"/>
      </w:numPr>
    </w:pPr>
  </w:style>
  <w:style w:type="paragraph" w:styleId="0 - Текст рада">
    <w:name w:val="0 - Текст рада"/>
    <w:next w:val="0 - Текст рада"/>
    <w:pPr>
      <w:keepNext w:val="0"/>
      <w:keepLines w:val="0"/>
      <w:pageBreakBefore w:val="0"/>
      <w:widowControl w:val="1"/>
      <w:shd w:val="clear" w:color="auto" w:fill="auto"/>
      <w:suppressAutoHyphens w:val="0"/>
      <w:bidi w:val="0"/>
      <w:spacing w:before="0" w:after="0" w:line="240" w:lineRule="auto"/>
      <w:ind w:left="0" w:right="0" w:firstLine="0"/>
      <w:jc w:val="both"/>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ru-RU"/>
      <w14:textFill>
        <w14:solidFill>
          <w14:srgbClr w14:val="000000"/>
        </w14:solidFill>
      </w14:textFill>
    </w:rPr>
  </w:style>
  <w:style w:type="paragraph" w:styleId="2 - Подпоглавље">
    <w:name w:val="2 - Подпоглавље"/>
    <w:next w:val="1 - Поглавље"/>
    <w:pPr>
      <w:keepNext w:val="0"/>
      <w:keepLines w:val="0"/>
      <w:pageBreakBefore w:val="0"/>
      <w:widowControl w:val="1"/>
      <w:shd w:val="clear" w:color="auto" w:fill="auto"/>
      <w:suppressAutoHyphens w:val="0"/>
      <w:bidi w:val="0"/>
      <w:spacing w:before="120" w:after="120" w:line="240" w:lineRule="auto"/>
      <w:ind w:left="0" w:right="0" w:firstLine="0"/>
      <w:jc w:val="both"/>
      <w:outlineLvl w:val="9"/>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Fill>
        <w14:solidFill>
          <w14:srgbClr w14:val="000000"/>
        </w14:solidFill>
      </w14:textFill>
    </w:rPr>
  </w:style>
  <w:style w:type="numbering" w:styleId="Bullets">
    <w:name w:val="Bullets"/>
    <w:pPr>
      <w:numPr>
        <w:numId w:val="3"/>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caption">
    <w:name w:val="caption"/>
    <w:next w:val="Body"/>
    <w:pPr>
      <w:keepNext w:val="0"/>
      <w:keepLines w:val="0"/>
      <w:pageBreakBefore w:val="0"/>
      <w:widowControl w:val="1"/>
      <w:shd w:val="clear" w:color="auto" w:fill="auto"/>
      <w:suppressAutoHyphens w:val="0"/>
      <w:bidi w:val="0"/>
      <w:spacing w:before="120" w:after="120" w:line="240" w:lineRule="auto"/>
      <w:ind w:left="0" w:right="0" w:firstLine="360"/>
      <w:jc w:val="center"/>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10"/>
      <w:kern w:val="0"/>
      <w:position w:val="0"/>
      <w:sz w:val="18"/>
      <w:szCs w:val="18"/>
      <w:u w:val="none" w:color="000000"/>
      <w:shd w:val="nil" w:color="auto" w:fill="auto"/>
      <w:vertAlign w:val="baseline"/>
      <w:lang w:val="en-US"/>
      <w14:textOutline>
        <w14:noFill/>
      </w14:textOutline>
      <w14:textFill>
        <w14:solidFill>
          <w14:srgbClr w14:val="000000"/>
        </w14:solidFill>
      </w14:textFill>
    </w:rPr>
  </w:style>
  <w:style w:type="paragraph" w:styleId="Литература">
    <w:name w:val="Литература"/>
    <w:next w:val="Литература"/>
    <w:pPr>
      <w:keepNext w:val="0"/>
      <w:keepLines w:val="0"/>
      <w:pageBreakBefore w:val="0"/>
      <w:widowControl w:val="1"/>
      <w:shd w:val="clear" w:color="auto" w:fill="auto"/>
      <w:suppressAutoHyphens w:val="0"/>
      <w:bidi w:val="0"/>
      <w:spacing w:before="120" w:after="0" w:line="240" w:lineRule="auto"/>
      <w:ind w:left="284" w:right="0" w:hanging="284"/>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pt-PT"/>
      <w14:textFill>
        <w14:solidFill>
          <w14:srgbClr w14:val="000000"/>
        </w14:solidFill>
      </w14:textFill>
    </w:rPr>
  </w:style>
  <w:style w:type="paragraph" w:styleId="91 - Биографија">
    <w:name w:val="91 - Биографија"/>
    <w:next w:val="91 - Биографија"/>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png"/><Relationship Id="rId8"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Times New Roman"/>
            <a:ea typeface="Times New Roman"/>
            <a:cs typeface="Times New Roman"/>
            <a:sym typeface="Times New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