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Чекпоинт № 2</w:t>
      </w:r>
    </w:p>
    <w:p>
      <w:r>
        <w:rPr>
          <w:rFonts w:ascii="Calibri" w:hAnsi="Calibri" w:eastAsia="Calibri"/>
          <w:b/>
          <w:color w:val="172A3A"/>
          <w:sz w:val="30"/>
        </w:rPr>
        <w:t>Стек технологий и текст выступления</w:t>
      </w:r>
    </w:p>
    <w:p>
      <w:r>
        <w:rPr>
          <w:rFonts w:ascii="Calibri" w:hAnsi="Calibri" w:eastAsia="Calibri"/>
          <w:b w:val="0"/>
          <w:color w:val="5B7282"/>
          <w:sz w:val="22"/>
        </w:rPr>
        <w:t>Демонстрация сквозного сценария · выступление на 2–3 минуты</w:t>
      </w:r>
    </w:p>
    <w:p>
      <w:pPr>
        <w:pStyle w:val="Heading1"/>
      </w:pPr>
      <w:r>
        <w:t>Технологический стек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6690"/>
      </w:tblGrid>
      <w:tr>
        <w:trPr>
          <w:tblHeader/>
        </w:trPr>
        <w:tc>
          <w:tcPr>
            <w:tcW w:type="dxa" w:w="4819"/>
            <w:shd w:fill="173B51"/>
          </w:tcPr>
          <w:p>
            <w:r>
              <w:rPr>
                <w:rFonts w:ascii="Calibri" w:hAnsi="Calibri" w:eastAsia="Calibri"/>
                <w:b/>
                <w:color w:val="FFFFFF"/>
                <w:sz w:val="23"/>
              </w:rPr>
              <w:t>Часть проекта</w:t>
            </w:r>
          </w:p>
        </w:tc>
        <w:tc>
          <w:tcPr>
            <w:tcW w:type="dxa" w:w="4819"/>
            <w:shd w:fill="173B51"/>
          </w:tcPr>
          <w:p>
            <w:r>
              <w:rPr>
                <w:rFonts w:ascii="Calibri" w:hAnsi="Calibri" w:eastAsia="Calibri"/>
                <w:b/>
                <w:color w:val="FFFFFF"/>
                <w:sz w:val="23"/>
              </w:rPr>
              <w:t>Технологии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140" w:type="dxa"/>
              <w:bottom w:w="140" w:type="dxa"/>
              <w:left w:w="140" w:type="dxa"/>
              <w:right w:w="140" w:type="dxa"/>
            </w:tcMar>
            <w:shd w:fill="F0F5F7"/>
          </w:tcPr>
          <w:p>
            <w:pPr>
              <w:keepNext w:val="0"/>
              <w:spacing w:after="0"/>
            </w:pPr>
            <w:r>
              <w:rPr>
                <w:rFonts w:ascii="Calibri" w:hAnsi="Calibri" w:eastAsia="Calibri"/>
                <w:b/>
                <w:color w:val="172A3A"/>
                <w:sz w:val="23"/>
              </w:rPr>
              <w:t>Серверная часть</w:t>
            </w:r>
          </w:p>
        </w:tc>
        <w:tc>
          <w:tcPr>
            <w:tcW w:type="dxa" w:w="6690"/>
            <w:vAlign w:val="center"/>
            <w:tcMar>
              <w:top w:w="140" w:type="dxa"/>
              <w:bottom w:w="140" w:type="dxa"/>
              <w:left w:w="140" w:type="dxa"/>
              <w:right w:w="140" w:type="dxa"/>
            </w:tcMar>
            <w:shd w:fill="F0F5F7"/>
          </w:tcPr>
          <w:p>
            <w:pPr>
              <w:keepNext w:val="0"/>
              <w:spacing w:after="0"/>
            </w:pPr>
            <w:r>
              <w:rPr>
                <w:rFonts w:ascii="Calibri" w:hAnsi="Calibri" w:eastAsia="Calibri"/>
                <w:b w:val="0"/>
                <w:color w:val="172A3A"/>
                <w:sz w:val="23"/>
              </w:rPr>
              <w:t>Python 3.12, Django 5.2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keepNext w:val="0"/>
              <w:spacing w:after="0"/>
            </w:pPr>
            <w:r>
              <w:rPr>
                <w:rFonts w:ascii="Calibri" w:hAnsi="Calibri" w:eastAsia="Calibri"/>
                <w:b/>
                <w:color w:val="172A3A"/>
                <w:sz w:val="23"/>
              </w:rPr>
              <w:t>Интерфейс</w:t>
            </w:r>
          </w:p>
        </w:tc>
        <w:tc>
          <w:tcPr>
            <w:tcW w:type="dxa" w:w="6690"/>
            <w:vAlign w:val="center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keepNext w:val="0"/>
              <w:spacing w:after="0"/>
            </w:pPr>
            <w:r>
              <w:rPr>
                <w:rFonts w:ascii="Calibri" w:hAnsi="Calibri" w:eastAsia="Calibri"/>
                <w:b w:val="0"/>
                <w:color w:val="172A3A"/>
                <w:sz w:val="23"/>
              </w:rPr>
              <w:t>Django Templates, HTML5, CSS3, JavaScript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140" w:type="dxa"/>
              <w:bottom w:w="140" w:type="dxa"/>
              <w:left w:w="140" w:type="dxa"/>
              <w:right w:w="140" w:type="dxa"/>
            </w:tcMar>
            <w:shd w:fill="F0F5F7"/>
          </w:tcPr>
          <w:p>
            <w:pPr>
              <w:keepNext w:val="0"/>
              <w:spacing w:after="0"/>
            </w:pPr>
            <w:r>
              <w:rPr>
                <w:rFonts w:ascii="Calibri" w:hAnsi="Calibri" w:eastAsia="Calibri"/>
                <w:b/>
                <w:color w:val="172A3A"/>
                <w:sz w:val="23"/>
              </w:rPr>
              <w:t>База данных</w:t>
            </w:r>
          </w:p>
        </w:tc>
        <w:tc>
          <w:tcPr>
            <w:tcW w:type="dxa" w:w="6690"/>
            <w:vAlign w:val="center"/>
            <w:tcMar>
              <w:top w:w="140" w:type="dxa"/>
              <w:bottom w:w="140" w:type="dxa"/>
              <w:left w:w="140" w:type="dxa"/>
              <w:right w:w="140" w:type="dxa"/>
            </w:tcMar>
            <w:shd w:fill="F0F5F7"/>
          </w:tcPr>
          <w:p>
            <w:pPr>
              <w:keepNext w:val="0"/>
              <w:spacing w:after="0"/>
            </w:pPr>
            <w:r>
              <w:rPr>
                <w:rFonts w:ascii="Calibri" w:hAnsi="Calibri" w:eastAsia="Calibri"/>
                <w:b w:val="0"/>
                <w:color w:val="172A3A"/>
                <w:sz w:val="23"/>
              </w:rPr>
              <w:t>PostgreSQL 16; для простого локального запуска — SQLite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keepNext w:val="0"/>
              <w:spacing w:after="0"/>
            </w:pPr>
            <w:r>
              <w:rPr>
                <w:rFonts w:ascii="Calibri" w:hAnsi="Calibri" w:eastAsia="Calibri"/>
                <w:b/>
                <w:color w:val="172A3A"/>
                <w:sz w:val="23"/>
              </w:rPr>
              <w:t>API</w:t>
            </w:r>
          </w:p>
        </w:tc>
        <w:tc>
          <w:tcPr>
            <w:tcW w:type="dxa" w:w="6690"/>
            <w:vAlign w:val="center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keepNext w:val="0"/>
              <w:spacing w:after="0"/>
            </w:pPr>
            <w:r>
              <w:rPr>
                <w:rFonts w:ascii="Calibri" w:hAnsi="Calibri" w:eastAsia="Calibri"/>
                <w:b w:val="0"/>
                <w:color w:val="172A3A"/>
                <w:sz w:val="23"/>
              </w:rPr>
              <w:t>Django REST Framework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140" w:type="dxa"/>
              <w:bottom w:w="140" w:type="dxa"/>
              <w:left w:w="140" w:type="dxa"/>
              <w:right w:w="140" w:type="dxa"/>
            </w:tcMar>
            <w:shd w:fill="F0F5F7"/>
          </w:tcPr>
          <w:p>
            <w:pPr>
              <w:keepNext w:val="0"/>
              <w:spacing w:after="0"/>
            </w:pPr>
            <w:r>
              <w:rPr>
                <w:rFonts w:ascii="Calibri" w:hAnsi="Calibri" w:eastAsia="Calibri"/>
                <w:b/>
                <w:color w:val="172A3A"/>
                <w:sz w:val="23"/>
              </w:rPr>
              <w:t>Формирование документов</w:t>
            </w:r>
          </w:p>
        </w:tc>
        <w:tc>
          <w:tcPr>
            <w:tcW w:type="dxa" w:w="6690"/>
            <w:vAlign w:val="center"/>
            <w:tcMar>
              <w:top w:w="140" w:type="dxa"/>
              <w:bottom w:w="140" w:type="dxa"/>
              <w:left w:w="140" w:type="dxa"/>
              <w:right w:w="140" w:type="dxa"/>
            </w:tcMar>
            <w:shd w:fill="F0F5F7"/>
          </w:tcPr>
          <w:p>
            <w:pPr>
              <w:keepNext w:val="0"/>
              <w:spacing w:after="0"/>
            </w:pPr>
            <w:r>
              <w:rPr>
                <w:rFonts w:ascii="Calibri" w:hAnsi="Calibri" w:eastAsia="Calibri"/>
                <w:b w:val="0"/>
                <w:color w:val="172A3A"/>
                <w:sz w:val="23"/>
              </w:rPr>
              <w:t>ReportLab — PDF; python-docx — DOCX; openpyxl — XLSX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keepNext w:val="0"/>
              <w:spacing w:after="0"/>
            </w:pPr>
            <w:r>
              <w:rPr>
                <w:rFonts w:ascii="Calibri" w:hAnsi="Calibri" w:eastAsia="Calibri"/>
                <w:b/>
                <w:color w:val="172A3A"/>
                <w:sz w:val="23"/>
              </w:rPr>
              <w:t>Развёртывание и проверки</w:t>
            </w:r>
          </w:p>
        </w:tc>
        <w:tc>
          <w:tcPr>
            <w:tcW w:type="dxa" w:w="6690"/>
            <w:vAlign w:val="center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keepNext w:val="0"/>
              <w:spacing w:after="0"/>
            </w:pPr>
            <w:r>
              <w:rPr>
                <w:rFonts w:ascii="Calibri" w:hAnsi="Calibri" w:eastAsia="Calibri"/>
                <w:b w:val="0"/>
                <w:color w:val="172A3A"/>
                <w:sz w:val="23"/>
              </w:rPr>
              <w:t>Docker Compose, Gunicorn, GitHub Actions</w:t>
            </w:r>
          </w:p>
        </w:tc>
      </w:tr>
    </w:tbl>
    <w:p/>
    <w:p>
      <w:pPr>
        <w:pStyle w:val="Heading2"/>
      </w:pPr>
      <w:r>
        <w:t>Сквозной сценарий</w:t>
      </w:r>
    </w:p>
    <w:p>
      <w:r>
        <w:t>Создание соревнования → заявка спортсмена → одобрение федерацией → внесение результатов → публикация протокола → история выступлений.</w:t>
      </w:r>
    </w:p>
    <w:p>
      <w:r>
        <w:br w:type="page"/>
      </w:r>
    </w:p>
    <w:p>
      <w:pPr>
        <w:pStyle w:val="Heading1"/>
      </w:pPr>
      <w:r>
        <w:t>Текст выступления</w:t>
      </w:r>
    </w:p>
    <w:p>
      <w:r>
        <w:t>Мы разрабатываем единую цифровую платформу для Федерации спортивного программирования Оренбургской области. Она объединяет работу с соревнованиями, заявками, результатами и спортивной историей участников.</w:t>
      </w:r>
    </w:p>
    <w:p>
      <w:r>
        <w:t>На втором чекпоинте мы показываем полный путь спортсмена через соревнование: от подачи заявки до появления результата в его личном кабинете. В сценарии участвуют два пользователя с разными правами — сотрудник федерации и спортсмен.</w:t>
      </w:r>
    </w:p>
    <w:p>
      <w:r>
        <w:t>Сначала сотрудник федерации создаёт соревнование. Он заполняет название, дисциплину, даты проведения и условия участия, прикрепляет положение. После публикации соревнования открывает приём заявок. Теперь мероприятие доступно спортсменам в календаре.</w:t>
      </w:r>
    </w:p>
    <w:p>
      <w:r>
        <w:t>Затем мы переходим в отдельный аккаунт спортсмена. Он открывает карточку соревнования, знакомится с условиями и отправляет заявку. Заявка сохраняется в системе и получает статус «На рассмотрении». Спортсмен видит её состояние в своём кабинете.</w:t>
      </w:r>
    </w:p>
    <w:p>
      <w:r>
        <w:t>Возвращаемся в кабинет федерации. Сотрудник видит поступившую заявку, проверяет данные участника и одобряет её. Статус меняется на «Одобрена»: спортсмен допущен к соревнованию.</w:t>
      </w:r>
    </w:p>
    <w:p>
      <w:r>
        <w:t>После завершения приёма заявок федерация вносит результаты. В нашем примере участник занимает первое место и получает 142,5 балла. Система связывает результат с одобренной заявкой и конкретным спортсменом.</w:t>
      </w:r>
    </w:p>
    <w:p>
      <w:r>
        <w:t>Следующий шаг — публикация протокола. На основе внесённых данных платформа формирует документ, который можно скачать в PDF, DOCX или XLSX. Мы открываем полученный PDF и показываем, что название соревнования, участник, место и количество баллов соответствуют данным в приложении.</w:t>
      </w:r>
    </w:p>
    <w:p>
      <w:r>
        <w:t>В завершение снова открываем кабинет спортсмена и переходим в историю выступлений. Опубликованный результат уже появился в его спортивной карточке автоматически — повторно вводить эти сведения не требуется.</w:t>
      </w:r>
    </w:p>
    <w:p>
      <w:r>
        <w:t>Серверная часть реализована на Python и Django, интерфейс — на HTML, CSS и JavaScript. Для серверного развёртывания используется PostgreSQL, предусмотрен запуск через Docker Compose.</w:t>
      </w:r>
    </w:p>
    <w:p>
      <w:r>
        <w:t>Таким образом, на втором чекпоинте мы демонстрируем связанный рабочий процесс: создание соревнования, подачу и одобрение заявки, внесение результатов, формирование протокола и обновление истории спортсмена.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134" w:bottom="96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color w:val="5B7282"/>
        <w:sz w:val="18"/>
      </w:rPr>
      <w:t xml:space="preserve">Чекпоинт № 2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Calibri"/>
        <w:b/>
        <w:color w:val="5B7282"/>
        <w:sz w:val="16"/>
      </w:rPr>
      <w:t>ОРЕНКОД  /  ЕДИНАЯ ЦИФРОВАЯ ПЛАТФОРМА ФСП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40"/>
    </w:pPr>
    <w:rPr>
      <w:rFonts w:ascii="Calibri" w:hAnsi="Calibri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3B51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73B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B51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Чекпоинт № 2 — стек технологий и текст выступления</dc:title>
  <dc:subject>Единая цифровая платформа ФСП Оренбургской области</dc:subject>
  <dc:creator>ОренКод</dc:creator>
  <cp:keywords>чекпоинт 2, стек, выступление, ФСП, ОренКод</cp:keywords>
  <dc:description>generated by python-docx</dc:description>
  <cp:lastModifiedBy/>
  <cp:revision>1</cp:revision>
  <dcterms:created xsi:type="dcterms:W3CDTF">2026-10-28T15:42:40Z</dcterms:created>
  <dcterms:modified xsi:type="dcterms:W3CDTF">2026-10-28T15:42:40Z</dcterms:modified>
  <cp:category/>
  <dc:language>ru-RU</dc:language>
</cp:coreProperties>
</file>