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Чекпоинт № 2 — демонстрация C1–C9</w:t>
      </w:r>
    </w:p>
    <w:p>
      <w:pPr/>
      <w:r>
        <w:t>Стек технологий, план сквозных демонстраций и текст выступления.</w:t>
      </w:r>
    </w:p>
    <w:p>
      <w:pPr>
        <w:pStyle w:val="Heading1"/>
        <w:pageBreakBefore w:val="0"/>
      </w:pPr>
      <w:r>
        <w:t>Как читать документ</w:t>
      </w:r>
    </w:p>
    <w:p>
      <w:pPr/>
      <w:r>
        <w:t>C1–C9 соответствуют разделам 1–9 файла docs/acceptance.md. Эта нумерация согласована с командой для демонстрации проекта.</w:t>
      </w:r>
    </w:p>
    <w:p>
      <w:pPr/>
      <w:r>
        <w:t>Каждый блок ниже содержит действия пользователей, переход между ролями и наблюдаемый результат. Наличие раздела в интерфейсе само по себе не завершает сквозной сценарий: нужно показать действие, сохранение данных и результат в следующем разделе или у другого пользователя.</w:t>
      </w:r>
    </w:p>
    <w:p>
      <w:pPr/>
      <w:r>
        <w:t>Для чекпоинта № 2 ТЗ предусматривает 1–2 сквозных сценария в видео 2–3 минуты либо ссылку на стенд. Полный показ всех девяти блоков проводится последовательно с дополнительным временем. Короткая речь в конце документа предназначена для обзора C1–C9; она не заменяет запись действий.</w:t>
      </w:r>
    </w:p>
    <w:p>
      <w:pPr>
        <w:pStyle w:val="Heading1"/>
        <w:pageBreakBefore w:val="0"/>
      </w:pPr>
      <w:r>
        <w:t>Технологический стек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shd w:fill="173B51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Часть проекта</w:t>
            </w:r>
          </w:p>
        </w:tc>
        <w:tc>
          <w:tcPr>
            <w:tcW w:type="dxa" w:w="6690"/>
            <w:vAlign w:val="center"/>
            <w:shd w:fill="173B51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Технологии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Серверная часть</w:t>
            </w:r>
          </w:p>
        </w:tc>
        <w:tc>
          <w:tcPr>
            <w:tcW w:type="dxa" w:w="6690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Python 3.12, Django 5.2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Интерфейс</w:t>
            </w:r>
          </w:p>
        </w:tc>
        <w:tc>
          <w:tcPr>
            <w:tcW w:type="dxa" w:w="669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Django Templates, HTML5, CSS3, JavaScript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База данных</w:t>
            </w:r>
          </w:p>
        </w:tc>
        <w:tc>
          <w:tcPr>
            <w:tcW w:type="dxa" w:w="6690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PostgreSQL 16; SQLite для простого локального запуска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API и интеграции</w:t>
            </w:r>
          </w:p>
        </w:tc>
        <w:tc>
          <w:tcPr>
            <w:tcW w:type="dxa" w:w="669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Django REST Framework, JWT; OAuth 2.0 / OpenID Connect с PKCE для ФСП 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Документы</w:t>
            </w:r>
          </w:p>
        </w:tc>
        <w:tc>
          <w:tcPr>
            <w:tcW w:type="dxa" w:w="6690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ReportLab — PDF; python-docx — DOCX; openpyxl — XLSX; qrcode — QR-коды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Развёртывание и проверки</w:t>
            </w:r>
          </w:p>
        </w:tc>
        <w:tc>
          <w:tcPr>
            <w:tcW w:type="dxa" w:w="669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Docker Compose, Gunicorn, WhiteNoise, GitHub Actions</w:t>
            </w:r>
          </w:p>
        </w:tc>
      </w:tr>
    </w:tbl>
    <w:p>
      <w:pPr>
        <w:pStyle w:val="Heading1"/>
        <w:pageBreakBefore/>
      </w:pPr>
      <w:r>
        <w:t>Подготовка показа</w:t>
      </w:r>
    </w:p>
    <w:p>
      <w:pPr>
        <w:pStyle w:val="ListBullet"/>
      </w:pPr>
      <w:r>
        <w:t>Использовать отдельную базу и вымышленные персональные данные. Обычный запуск не добавляет готовых спортсменов и соревнований.</w:t>
      </w:r>
    </w:p>
    <w:p>
      <w:pPr>
        <w:pStyle w:val="ListBullet"/>
      </w:pPr>
      <w:r>
        <w:t>Главным аккаунтом министерства создать федерацию; завершить первый вход и смену временных паролей. Спортсмена, тренера и судью зарегистрировать самостоятельно.</w:t>
      </w:r>
    </w:p>
    <w:p>
      <w:pPr>
        <w:pStyle w:val="ListBullet"/>
      </w:pPr>
      <w:r>
        <w:t>Развести пользователей по отдельным профилям браузера. Переключение активной роли не является входом под другим пользователем.</w:t>
      </w:r>
    </w:p>
    <w:p>
      <w:pPr>
        <w:pStyle w:val="ListBullet"/>
      </w:pPr>
      <w:r>
        <w:t>Подготовить положение PDF/DOCX, подходящие дисциплину и возраст, данные календарного плана, даты регистрации и проведения. Для истории и рейтинга заранее нужны опубликованные результаты, для численности — сведения за два и более года.</w:t>
      </w:r>
    </w:p>
    <w:p>
      <w:pPr>
        <w:pStyle w:val="ListBullet"/>
      </w:pPr>
      <w:r>
        <w:t>Открыть нужные разделы и подготовить тестовые файлы импорта/доказательств. Пароли, токены и закрытые персональные сведения не показывать на записи.</w:t>
      </w:r>
    </w:p>
    <w:p>
      <w:pPr>
        <w:pStyle w:val="Heading1"/>
        <w:pageBreakBefore w:val="0"/>
      </w:pPr>
      <w:r>
        <w:t>Карта демонстрации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402"/>
        <w:gridCol w:w="5613"/>
      </w:tblGrid>
      <w:tr>
        <w:trPr>
          <w:cantSplit/>
          <w:tblHeader/>
        </w:trPr>
        <w:tc>
          <w:tcPr>
            <w:tcW w:type="dxa" w:w="624"/>
            <w:vAlign w:val="center"/>
            <w:shd w:fill="173B51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3402"/>
            <w:vAlign w:val="center"/>
            <w:shd w:fill="173B51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5613"/>
            <w:vAlign w:val="center"/>
            <w:shd w:fill="173B51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Что должно быть видно в конце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C1</w:t>
            </w:r>
          </w:p>
        </w:tc>
        <w:tc>
          <w:tcPr>
            <w:tcW w:type="dxa" w:w="3402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Соревнование, протокол и квалификация</w:t>
            </w:r>
          </w:p>
        </w:tc>
        <w:tc>
          <w:tcPr>
            <w:tcW w:type="dxa" w:w="5613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Опубликованный протокол, результат в истории, решение по квалификации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C2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Права, согласия и тренерская связь</w:t>
            </w:r>
          </w:p>
        </w:tc>
        <w:tc>
          <w:tcPr>
            <w:tcW w:type="dxa" w:w="5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Подтверждённый тренер действует за своего спортсмена; посторонний доступ отклонён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C3</w:t>
            </w:r>
          </w:p>
        </w:tc>
        <w:tc>
          <w:tcPr>
            <w:tcW w:type="dxa" w:w="3402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Рейтинг, сборная и численность</w:t>
            </w:r>
          </w:p>
        </w:tc>
        <w:tc>
          <w:tcPr>
            <w:tcW w:type="dxa" w:w="5613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Прозрачный рейтинг, сохранённый состав, документы и отчёт за 2+ года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C4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ФСП ID</w:t>
            </w:r>
          </w:p>
        </w:tc>
        <w:tc>
          <w:tcPr>
            <w:tcW w:type="dxa" w:w="5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Согласованный вход клиента и проверенные сведения пользователя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C5</w:t>
            </w:r>
          </w:p>
        </w:tc>
        <w:tc>
          <w:tcPr>
            <w:tcW w:type="dxa" w:w="3402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API и интеграции</w:t>
            </w:r>
          </w:p>
        </w:tc>
        <w:tc>
          <w:tcPr>
            <w:tcW w:type="dxa" w:w="5613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Разрешённый запрос, атомарный импорт, отзыв токена и событие вебхука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C6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Подготовка и нормативы</w:t>
            </w:r>
          </w:p>
        </w:tc>
        <w:tc>
          <w:tcPr>
            <w:tcW w:type="dxa" w:w="5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Посещаемость, результаты нормативов, перевод и сохранённая история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C7</w:t>
            </w:r>
          </w:p>
        </w:tc>
        <w:tc>
          <w:tcPr>
            <w:tcW w:type="dxa" w:w="3402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Апелляции и нарушения</w:t>
            </w:r>
          </w:p>
        </w:tc>
        <w:tc>
          <w:tcPr>
            <w:tcW w:type="dxa" w:w="5613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Мотивированное решение и версия исправления; учтённое отстранение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C8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Путь, премии, министерство и QR</w:t>
            </w:r>
          </w:p>
        </w:tc>
        <w:tc>
          <w:tcPr>
            <w:tcW w:type="dxa" w:w="5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Основания кандидатов, ходатайство, сводка и проверяемая справка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C9</w:t>
            </w:r>
          </w:p>
        </w:tc>
        <w:tc>
          <w:tcPr>
            <w:tcW w:type="dxa" w:w="3402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Навигатор и документы судьи</w:t>
            </w:r>
          </w:p>
        </w:tc>
        <w:tc>
          <w:tcPr>
            <w:tcW w:type="dxa" w:w="5613"/>
            <w:vAlign w:val="center"/>
            <w:shd w:fill="F0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 w:val="0"/>
                <w:color w:val="203342"/>
                <w:sz w:val="20"/>
              </w:rPr>
              <w:t>Публичный путь к регистрации и выгруженные документы назначенного судьи</w:t>
            </w:r>
          </w:p>
        </w:tc>
      </w:tr>
    </w:tbl>
    <w:p>
      <w:pPr>
        <w:pStyle w:val="Heading1"/>
        <w:pageBreakBefore/>
      </w:pPr>
      <w:r>
        <w:t>C1. Соревнование → протокол → квалификация</w:t>
      </w:r>
    </w:p>
    <w:p>
      <w:pPr/>
      <w:r>
        <w:rPr>
          <w:rFonts w:ascii="Calibri" w:hAnsi="Calibri"/>
          <w:b/>
        </w:rPr>
        <w:t>Роли:</w:t>
      </w:r>
      <w:r>
        <w:t xml:space="preserve"> федерация, спортсмен, судья; подтверждённый тренер — при подаче от спортсмена. Разделы: /competitions/, /profile/, /qualifications/.</w:t>
      </w:r>
    </w:p>
    <w:p>
      <w:pPr/>
      <w:r>
        <w:t>1. Федерация создаёт соревнование, задаёт дисциплину, возраст, даты и календарный план с номером; загружает положение, публикует старт и открывает регистрацию.</w:t>
      </w:r>
    </w:p>
    <w:p>
      <w:pPr/>
      <w:r>
        <w:t>2. Спортсмен под своим аккаунтом открывает соревнование и подаёт заявку. Показать статус «На рассмотрении».</w:t>
      </w:r>
    </w:p>
    <w:p>
      <w:pPr/>
      <w:r>
        <w:t>3. Федерация одобряет заявку, назначает судью и закрывает регистрацию.</w:t>
      </w:r>
    </w:p>
    <w:p>
      <w:pPr/>
      <w:r>
        <w:t>4. Федерация вносит места и баллы всех допущенных участников, проверяет предварительный протокол, публикует его и скачивает PDF.</w:t>
      </w:r>
    </w:p>
    <w:p>
      <w:pPr/>
      <w:r>
        <w:t>5. Спортсмен открывает историю выступлений. Показать тот же старт, место и баллы, например 1-е место и 142,5 балла.</w:t>
      </w:r>
    </w:p>
    <w:p>
      <w:pPr/>
      <w:r>
        <w:t>6. По опубликованному результату подать заявку на разряд: при действующем подтверждённом тренере по дисциплине её подаёт тренер, иначе — спортсмен. Федерация фиксирует решение, приказ, дату и срок. Отдельно судья подаёт заявку на категорию, федерация рассматривает её.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цепочка прослеживается от заявки до документа, истории и решения по квалификации. Спортивный разряд и судейская категория показаны отдельно.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без результата хотя бы одного допущенного участника публикация протокола запрещена. Обычное редактирование опубликованного результата закрыто.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«Один результат связывает заявку, протокол, историю спортсмена и основание для рассмотрения разряда; повторного ввода этих сведений не требуется».</w:t>
      </w:r>
    </w:p>
    <w:p>
      <w:pPr>
        <w:pStyle w:val="Heading1"/>
        <w:pageBreakBefore/>
      </w:pPr>
      <w:r>
        <w:t>C2. Регистрация → согласие → связь с тренером → действие</w:t>
      </w:r>
    </w:p>
    <w:p>
      <w:pPr/>
      <w:r>
        <w:rPr>
          <w:rFonts w:ascii="Calibri" w:hAnsi="Calibri"/>
          <w:b/>
        </w:rPr>
        <w:t>Роли:</w:t>
      </w:r>
      <w:r>
        <w:t xml:space="preserve"> министерство, федерация, спортсмен, тренер. Разделы: /register/, /administration/federations/, /coaching/.</w:t>
      </w:r>
    </w:p>
    <w:p>
      <w:pPr/>
      <w:r>
        <w:t>1. Министерство создаёт аккаунт федерации; спортсмен и тренер регистрируются самостоятельно. Для несовершеннолетнего указываются представитель и необходимые согласия.</w:t>
      </w:r>
    </w:p>
    <w:p>
      <w:pPr/>
      <w:r>
        <w:t>2. Тренер выбирает спортсмена и дисциплину, отправляет запрос на связь. Показать ожидающий статус.</w:t>
      </w:r>
    </w:p>
    <w:p>
      <w:pPr/>
      <w:r>
        <w:t>3. Спортсмен под своим аккаунтом подтверждает запрос. У тренера появляется активная связь по выбранной дисциплине.</w:t>
      </w:r>
    </w:p>
    <w:p>
      <w:pPr/>
      <w:r>
        <w:t>4. Тренер подаёт заявку на соревнование за этого спортсмена. Показать её у федерации.</w:t>
      </w:r>
    </w:p>
    <w:p>
      <w:pPr/>
      <w:r>
        <w:t>5. Приостановить связь и попытаться подать заявку в другое подходящее соревнование, где ещё нет заявки этого спортсмена: действие тренера отклоняется из-за неактивной связи. Проверить недоступность чужой приватной карточки.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полномочия тренера возникают после подтверждения спортсменом и ограничены дисциплиной и состоянием связи.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самостоятельная регистрация федерации/министерства и назначение этих ролей через собственный профиль недоступны. Министерство управляет аккаунтами федераций, но не изменяет спортивные решения.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«Мы проверяем права на каждом действии: роль, подтверждение спортсмена, дисциплину и актуальность связи».</w:t>
      </w:r>
    </w:p>
    <w:p>
      <w:pPr>
        <w:pStyle w:val="Heading1"/>
        <w:pageBreakBefore/>
      </w:pPr>
      <w:r>
        <w:t>C3. Результаты → рейтинг → сборная → документы и численность</w:t>
      </w:r>
    </w:p>
    <w:p>
      <w:pPr/>
      <w:r>
        <w:rPr>
          <w:rFonts w:ascii="Calibri" w:hAnsi="Calibri"/>
          <w:b/>
        </w:rPr>
        <w:t>Роли:</w:t>
      </w:r>
      <w:r>
        <w:t xml:space="preserve"> федерация; министерство — просмотр разрешённых сводок. Разделы: /rating/, /reports/, /development/.</w:t>
      </w:r>
    </w:p>
    <w:p>
      <w:pPr/>
      <w:r>
        <w:t>1. На данных опубликованных соревнований открыть рейтинг за сезон и дисциплину; показать исходные результаты и расчёт баллов.</w:t>
      </w:r>
    </w:p>
    <w:p>
      <w:pPr/>
      <w:r>
        <w:t>2. Применить фильтры возраста и минимального разряда. Для подготовленного примера показать коэффициент 1,2 за призовые места на двух разных соревнованиях.</w:t>
      </w:r>
    </w:p>
    <w:p>
      <w:pPr/>
      <w:r>
        <w:t>3. Федерацией отметить допустимых спортсменов, сохранить состав сборной и скачать список и проект приказа.</w:t>
      </w:r>
    </w:p>
    <w:p>
      <w:pPr/>
      <w:r>
        <w:t>4. Открыть численность за два и более года, применить фильтры по организации, дисциплине, возрасту и муниципалитету; скачать XLSX.</w:t>
      </w:r>
    </w:p>
    <w:p>
      <w:pPr/>
      <w:r>
        <w:t>5. Показать происхождение численности из реестра и истории зачислений, затем сводку показателей региона с источниками.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можно проследить исходные данные рейтинга, выбранный состав и происхождение годовых показателей.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участника вне допустимого отфильтрованного рейтинга нельзя подставить в состав. Проект приказа не выдаётся за уже утверждённый документ.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«Рейтинг объясним по результатам, состав сохраняет выбор федерации, а численность строится по данным учёта за выбранные годы».</w:t>
      </w:r>
    </w:p>
    <w:p>
      <w:pPr>
        <w:pStyle w:val="Heading1"/>
        <w:pageBreakBefore/>
      </w:pPr>
      <w:r>
        <w:t>C4. Клиент → ФСП ID → согласие → сведения пользователя</w:t>
      </w:r>
    </w:p>
    <w:p>
      <w:pPr/>
      <w:r>
        <w:rPr>
          <w:rFonts w:ascii="Calibri" w:hAnsi="Calibri"/>
          <w:b/>
        </w:rPr>
        <w:t>Роли:</w:t>
      </w:r>
      <w:r>
        <w:t xml:space="preserve"> федерация, пользователь, клиентское приложение. Разделы: /identity/, /identity/demo/, /identity/grants/.</w:t>
      </w:r>
    </w:p>
    <w:p>
      <w:pPr/>
      <w:r>
        <w:t>1. Показать регистрацию клиента федерацией с точным адресом возврата. Локальный цикл входа продемонстрировать отдельно встроенным тестовым клиентом в DEBUG-режиме.</w:t>
      </w:r>
    </w:p>
    <w:p>
      <w:pPr/>
      <w:r>
        <w:t>2. Пользователь нажимает «Войти через ФСП ID» и проходит вход у провайдера.</w:t>
      </w:r>
    </w:p>
    <w:p>
      <w:pPr/>
      <w:r>
        <w:t>3. Показать страницу согласия и запрашиваемые сведения; пользователь разрешает передачу.</w:t>
      </w:r>
    </w:p>
    <w:p>
      <w:pPr/>
      <w:r>
        <w:t>4. Клиент обменивает код с PKCE, проверяет ID token и получает userinfo. Показать проверенные сведения без сырых токенов.</w:t>
      </w:r>
    </w:p>
    <w:p>
      <w:pPr/>
      <w:r>
        <w:t>5. Пользователь отзывает разрешение в «Моих разрешениях»; прежние токены этого клиента больше не дают доступ.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полный OIDC-цикл — запрос клиента, согласие пользователя, проверенный ответ и отзыв доступа.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неверный verifier, повторное использование кода и неизвестный redirect URI отклоняются.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«ФСП ID передаёт клиенту согласованные сведения; приложение проверяет ответ, а пользователь может отозвать доступ».</w:t>
      </w:r>
    </w:p>
    <w:p>
      <w:pPr/>
      <w:r>
        <w:rPr>
          <w:rFonts w:ascii="Calibri" w:hAnsi="Calibri"/>
          <w:b/>
        </w:rPr>
        <w:t>Условие показа:</w:t>
      </w:r>
      <w:r>
        <w:t xml:space="preserve"> встроенный тест использует собственный служебный клиент и точный loopback-адрес с фактическим портом сервера; вручную созданный клиент не подключается к нему автоматически. В промышленном режиме нужен отдельный зарегистрированный HTTPS-клиент.</w:t>
      </w:r>
    </w:p>
    <w:p>
      <w:pPr>
        <w:pStyle w:val="Heading1"/>
        <w:pageBreakBefore/>
      </w:pPr>
      <w:r>
        <w:t>C5. API → импорт → событие → партнёрская интеграция</w:t>
      </w:r>
    </w:p>
    <w:p>
      <w:pPr/>
      <w:r>
        <w:rPr>
          <w:rFonts w:ascii="Calibri" w:hAnsi="Calibri"/>
          <w:b/>
        </w:rPr>
        <w:t>Роли:</w:t>
      </w:r>
      <w:r>
        <w:t xml:space="preserve"> федерация, разрешённый API-клиент, партнёрский получатель. Разделы: /api/v1/, /integrations/.</w:t>
      </w:r>
    </w:p>
    <w:p>
      <w:pPr/>
      <w:r>
        <w:t>1. Получить JWT разрешённого пользователя, выполнить запрос календаря и разрешённое действие. Показать обновление токена и отказ при неподходящей активной роли.</w:t>
      </w:r>
    </w:p>
    <w:p>
      <w:pPr/>
      <w:r>
        <w:t>2. Федерацией создать ограниченный партнёрский токен, выполнить разрешённый запрос и затем отозвать токен. Повторный запрос должен отклоняться.</w:t>
      </w:r>
    </w:p>
    <w:p>
      <w:pPr/>
      <w:r>
        <w:t>3. В закрытое соревнование с одобренными заявками импортировать подготовленный CSV/JSON результатов.</w:t>
      </w:r>
    </w:p>
    <w:p>
      <w:pPr/>
      <w:r>
        <w:t>4. Повторить импорт с одной ошибочной строкой: показать ошибку и сохранение всех прежних значений. Затем выполнить корректный импорт и показать результаты/протокол.</w:t>
      </w:r>
    </w:p>
    <w:p>
      <w:pPr/>
      <w:r>
        <w:t>5. Вызвать событие публикации и показать подписанную очередь вебхука. При настроенном разрешённом HTTPS-получателе отдельно показать принятие события на стороне получателя.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права API ограничены; импорт записывается целиком либо не записывается; событие интеграции прослеживается по очереди и статусу доставки.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импорт не меняет уже опубликованный протокол. Наличие записи в очереди не означает получение события партнёром.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«Внешний сервис получает только выданные полномочия, ошибочный импорт не оставляет частичных результатов, а отправка событий имеет отдельный статус».</w:t>
      </w:r>
    </w:p>
    <w:p>
      <w:pPr/>
      <w:r>
        <w:rPr>
          <w:rFonts w:ascii="Calibri" w:hAnsi="Calibri"/>
          <w:b/>
        </w:rPr>
        <w:t>Условие показа:</w:t>
      </w:r>
      <w:r>
        <w:t xml:space="preserve"> для фактической доставки вебхука нужны разрешённый HTTPS-хост и настроенный получатель. Секрет токена и ключ подписи не показываются.</w:t>
      </w:r>
    </w:p>
    <w:p>
      <w:pPr>
        <w:pStyle w:val="Heading1"/>
        <w:pageBreakBefore/>
      </w:pPr>
      <w:r>
        <w:t>C6. Группа → занятия → нормативы → аттестация и перевод</w:t>
      </w:r>
    </w:p>
    <w:p>
      <w:pPr/>
      <w:r>
        <w:rPr>
          <w:rFonts w:ascii="Calibri" w:hAnsi="Calibri"/>
          <w:b/>
        </w:rPr>
        <w:t>Роли:</w:t>
      </w:r>
      <w:r>
        <w:t xml:space="preserve"> федерация, тренер, спортсмен. Разделы: /training/, /training/norms/, /reports/.</w:t>
      </w:r>
    </w:p>
    <w:p>
      <w:pPr/>
      <w:r>
        <w:t>1. Федерацией создать программу организации и группу по дисциплине с тренером; зачислить спортсмена с датой начала.</w:t>
      </w:r>
    </w:p>
    <w:p>
      <w:pPr/>
      <w:r>
        <w:t>2. Создать занятие и отметить посещаемость. Для онлайн-занятия приложить требуемую ссылку на запись или лог.</w:t>
      </w:r>
    </w:p>
    <w:p>
      <w:pPr/>
      <w:r>
        <w:t>3. Задать подходящие нормативы с порогами, единицами и источником; тренером или федерацией внести результаты сдачи.</w:t>
      </w:r>
    </w:p>
    <w:p>
      <w:pPr/>
      <w:r>
        <w:t>4. Показать сравнение результатов с порогами и готовность к следующему этапу. Пока обязательные нормативы не выполнены, перевод не проходит.</w:t>
      </w:r>
    </w:p>
    <w:p>
      <w:pPr/>
      <w:r>
        <w:t>5. После выполнения условий перевести спортсмена в группу следующего этапа. Показать закрытый прежний интервал, новое зачисление, доказательства аттестации и отражение данных в учёте численности.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подготовка является связанным процессом с журналом, измеримыми результатами, решением о переводе и историей.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незачисленного на дату занятия нельзя отметить; отсутствие обязательных нормативов не подтверждает готовность автоматически.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«Переход между этапами опирается на сохранённые результаты нормативов; прежняя история зачисления и подготовки остаётся доступной».</w:t>
      </w:r>
    </w:p>
    <w:p>
      <w:pPr/>
      <w:r>
        <w:rPr>
          <w:rFonts w:ascii="Calibri" w:hAnsi="Calibri"/>
          <w:b/>
        </w:rPr>
        <w:t>Условие показа:</w:t>
      </w:r>
      <w:r>
        <w:t xml:space="preserve"> условные пороги допустимы как явно обозначенные тестовые примеры; действующие нормативы и их источники заполняются отдельно.</w:t>
      </w:r>
    </w:p>
    <w:p>
      <w:pPr>
        <w:pStyle w:val="Heading1"/>
        <w:pageBreakBefore/>
      </w:pPr>
      <w:r>
        <w:t>C7. Апелляция → решение → версия исправления и нарушения</w:t>
      </w:r>
    </w:p>
    <w:p>
      <w:pPr/>
      <w:r>
        <w:rPr>
          <w:rFonts w:ascii="Calibri" w:hAnsi="Calibri"/>
          <w:b/>
        </w:rPr>
        <w:t>Роли:</w:t>
      </w:r>
      <w:r>
        <w:t xml:space="preserve"> спортсмен или подтверждённый тренер, федерация. Разделы: /governance/appeals/, /governance/violations/new/, /rating/.</w:t>
      </w:r>
    </w:p>
    <w:p>
      <w:pPr/>
      <w:r>
        <w:t>1. Спортсмен подаёт апелляцию на собственный опубликованный результат с основанием и доказательством.</w:t>
      </w:r>
    </w:p>
    <w:p>
      <w:pPr/>
      <w:r>
        <w:t>2. Федерация открывает обращение и рассматривает материалы; показать мотивированное решение.</w:t>
      </w:r>
    </w:p>
    <w:p>
      <w:pPr/>
      <w:r>
        <w:t>3. При удовлетворении апелляции федерация указывает допустимые исправленные место/баллы. Показать отдельную запись с прежними и новыми данными, основанием и автором.</w:t>
      </w:r>
    </w:p>
    <w:p>
      <w:pPr/>
      <w:r>
        <w:t>4. Спортсмен проверяет обновлённый результат и уведомление. Обычная форма редактирования опубликованного протокола остаётся закрытой.</w:t>
      </w:r>
    </w:p>
    <w:p>
      <w:pPr/>
      <w:r>
        <w:t>5. В отдельной ветке федерация фиксирует нарушение и действующее отстранение; показать его историю и исключение спортсмена из текущего рейтинга.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исправление опубликованных данных происходит через решение с сохранением истории; отстранение влияет на связанные процессы.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чужая апелляция недоступна постороннему спортсмену; занятое место нельзя присвоить второму участнику. Подача обращения сама по себе не меняет результат.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«Спорный результат изменяется после мотивированного решения, а прежние сведения сохраняются в истории исправлений».</w:t>
      </w:r>
    </w:p>
    <w:p>
      <w:pPr>
        <w:pStyle w:val="Heading1"/>
        <w:pageBreakBefore/>
      </w:pPr>
      <w:r>
        <w:t>C8. Путь спортсмена → основания → премии, министерство и QR</w:t>
      </w:r>
    </w:p>
    <w:p>
      <w:pPr/>
      <w:r>
        <w:rPr>
          <w:rFonts w:ascii="Calibri" w:hAnsi="Calibri"/>
          <w:b/>
        </w:rPr>
        <w:t>Роли:</w:t>
      </w:r>
      <w:r>
        <w:t xml:space="preserve"> спортсмен, федерация, министерство. Разделы: /development/pathway/, /development/candidates/, /governance/awards/, /governance/ministry/, /development/certificates/.</w:t>
      </w:r>
    </w:p>
    <w:p>
      <w:pPr/>
      <w:r>
        <w:t>1. Показать текущий разряд, следующую ступень, условия и подходящие старты в пути спортсмена. Федерация открывает кандидатов и конкретное опубликованное основание совпадения с критерием.</w:t>
      </w:r>
    </w:p>
    <w:p>
      <w:pPr/>
      <w:r>
        <w:t>2. По настроенным правилам премий выбрать год, показать подходящий результат и расчёт; сформировать ходатайство и пройти допустимые статусы.</w:t>
      </w:r>
    </w:p>
    <w:p>
      <w:pPr/>
      <w:r>
        <w:t>3. Войти министерством и открыть сводку: численность, календарь, организации и сборные. Отдельно показать управление аккаунтами федераций.</w:t>
      </w:r>
    </w:p>
    <w:p>
      <w:pPr/>
      <w:r>
        <w:t>4. Спортсменом выбрать свой опубликованный результат, подтвердить публичную проверку минимальных сведений и получить PDF-справку с QR.</w:t>
      </w:r>
    </w:p>
    <w:p>
      <w:pPr/>
      <w:r>
        <w:t>5. Открыть адрес проверки QR без входа; показать инициалы, соревнование и статус. Выдать новый экземпляр или отозвать прежний и проверить изменение статуса старого номера.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видны основания рекомендаций и расчётов, сводные данные для министерства и проверяемый статус выданного документа.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совпадение критерия не присваивает разряд автоматически. Министерство не исправляет результаты и не принимает спортивные решения. Публичная проверка не раскрывает email и дату рождения.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«Платформа объясняет основания кандидатов и документов, а уполномоченный сотрудник сохраняет решение; справку можно проверить по её номеру».</w:t>
      </w:r>
    </w:p>
    <w:p>
      <w:pPr/>
      <w:r>
        <w:rPr>
          <w:rFonts w:ascii="Calibri" w:hAnsi="Calibri"/>
          <w:b/>
        </w:rPr>
        <w:t>Условие показа:</w:t>
      </w:r>
      <w:r>
        <w:t xml:space="preserve"> правила премий, нормативы и официальные формы должны быть подтверждены. Для сканирования QR другим устройством адрес платформы должен быть ему доступен; автоматической отправки ходатайства в госорганы нет.</w:t>
      </w:r>
    </w:p>
    <w:p>
      <w:pPr>
        <w:pStyle w:val="Heading1"/>
        <w:pageBreakBefore/>
      </w:pPr>
      <w:r>
        <w:t>C9. Навигатор → регистрация; судейство → документы</w:t>
      </w:r>
    </w:p>
    <w:p>
      <w:pPr/>
      <w:r>
        <w:rPr>
          <w:rFonts w:ascii="Calibri" w:hAnsi="Calibri"/>
          <w:b/>
        </w:rPr>
        <w:t>Роли:</w:t>
      </w:r>
      <w:r>
        <w:t xml:space="preserve"> посетитель без входа, новый пользователь, назначенный судья, федерация. Разделы: /guide/, /register/, /development/judging/.</w:t>
      </w:r>
    </w:p>
    <w:p>
      <w:pPr/>
      <w:r>
        <w:t>1. Без входа открыть навигатор, выбрать дисциплину, посмотреть организацию и ближайшие старты, перейти к регистрации.</w:t>
      </w:r>
    </w:p>
    <w:p>
      <w:pPr/>
      <w:r>
        <w:t>2. Создать допустимый пользовательский аккаунт с согласием и показать переход к личному кабинету.</w:t>
      </w:r>
    </w:p>
    <w:p>
      <w:pPr/>
      <w:r>
        <w:t>3. В отдельной ветке войти судьёй, назначенным на подготовленное соревнование, и открыть «Документы о судействе».</w:t>
      </w:r>
    </w:p>
    <w:p>
      <w:pPr/>
      <w:r>
        <w:t>4. Скачать состав своей коллегии и личную историю завершённых соревнований в XLSX, DOCX и PDF; открыть один фактически скачанный файл.</w:t>
      </w:r>
    </w:p>
    <w:p>
      <w:pPr/>
      <w:r>
        <w:t>5. Сверить соревнование и назначение с исходной карточкой; проверить отказ при запросе личной истории другого судьи.</w:t>
      </w:r>
    </w:p>
    <w:p>
      <w:pPr/>
      <w:r>
        <w:rPr>
          <w:rFonts w:ascii="Calibri" w:hAnsi="Calibri"/>
          <w:b/>
        </w:rPr>
        <w:t>Результат показа:</w:t>
      </w:r>
      <w:r>
        <w:t xml:space="preserve"> новичок проходит от публичной информации к аккаунту; судья получает документы из собственных назначений и завершённых соревнований.</w:t>
      </w:r>
    </w:p>
    <w:p>
      <w:pPr/>
      <w:r>
        <w:rPr>
          <w:rFonts w:ascii="Calibri" w:hAnsi="Calibri"/>
          <w:b/>
        </w:rPr>
        <w:t>Контрольная проверка:</w:t>
      </w:r>
      <w:r>
        <w:t xml:space="preserve"> публичный навигатор не раскрывает приватные карточки. Судейские документы не дают доступа к чужой личной истории.</w:t>
      </w:r>
    </w:p>
    <w:p>
      <w:pPr>
        <w:shd w:fill="EDF4F7"/>
      </w:pPr>
      <w:r>
        <w:rPr>
          <w:rFonts w:ascii="Calibri" w:hAnsi="Calibri"/>
          <w:b/>
        </w:rPr>
        <w:t>Реплика:</w:t>
      </w:r>
      <w:r>
        <w:t xml:space="preserve"> «У новичка есть понятная точка входа, а у судьи — документы, связанные с его назначениями и историей работы».</w:t>
      </w:r>
    </w:p>
    <w:p>
      <w:pPr>
        <w:pStyle w:val="Heading1"/>
        <w:pageBreakBefore/>
      </w:pPr>
      <w:r>
        <w:t>Короткий текст выступления — обзор C1–C9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Мы представляем «ОренКод» — единую цифровую платформу для Федерации спортивного программирования Оренбургской области. Демонстрацию строим вокруг связанных действий пользователей: у каждого сценария есть начало, смена роли и проверяемый результат.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В C1 федерация создаёт соревнование и открывает регистрацию. Спортсмен подаёт заявку, федерация допускает участника, назначает судью и вносит результаты. После публикации протокол доступен для скачивания, результат появляется в истории спортсмена и может стать основанием заявки на разряд. Судейская категория рассматривается отдельно.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C2 показывает, как возникают полномочия. Министерство создаёт федерации, остальные пользовательские роли регистрируются самостоятельно. Тренер получает возможность действовать за спортсмена после подтверждения связи по дисциплине. При прекращении связи эти полномочия перестают действовать.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В C3 опубликованные результаты становятся основой рейтинга. Мы показываем расчёт, фильтры, сохранение состава сборной и документы. Отдельно демонстрируем динамику численности за несколько лет и источники данных.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C4 — вход через ФСП ID: клиент запрашивает доступ, пользователь даёт согласие, клиент получает проверенные сведения. Разрешение можно отозвать.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В C5 демонстрируем API, ограниченный партнёрский доступ и импорт результатов. Ошибка одной строки отменяет весь импорт. Для вебхуков различаем создание события и подтверждённую доставку получателю.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C6 связывает подготовку спортсмена: зачисление в группу, занятия, посещаемость, сдачу нормативов и перевод на следующий этап. Решение опирается на результаты, прежняя история сохраняется.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В C7 спортсмен подаёт апелляцию, федерация принимает мотивированное решение. Исправление опубликованного результата сохраняет прежние значения и основание. Действующее отстранение учитывается в рейтинге.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C8 объединяет путь спортсмена, кандидатов на разряд, ходатайства о премиях, министерскую сводку и справку с QR. Мы показываем основания расчётов и публичную проверку статуса документа.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C9 завершает показ: новичок проходит от навигатора к регистрации, назначенный судья получает состав коллегии и свою историю судейства.</w:t>
      </w:r>
    </w:p>
    <w:p>
      <w:pPr>
        <w:spacing w:line="259" w:lineRule="auto"/>
      </w:pPr>
      <w:r>
        <w:rPr>
          <w:rFonts w:ascii="Calibri" w:hAnsi="Calibri"/>
          <w:b w:val="0"/>
          <w:sz w:val="23"/>
        </w:rPr>
        <w:t>Проект реализован на Python и Django с HTML, CSS и JavaScript; серверная база — PostgreSQL. В показе мы прослеживаем переход данных от действия пользователя до сохранённого результата и документа.</w:t>
      </w:r>
    </w:p>
    <w:p>
      <w:pPr>
        <w:pStyle w:val="Heading1"/>
        <w:pageBreakBefore/>
      </w:pPr>
      <w:r>
        <w:t>Ответы во время демонстрации</w:t>
      </w:r>
    </w:p>
    <w:p>
      <w:pPr>
        <w:pStyle w:val="ListBullet"/>
      </w:pPr>
      <w:r>
        <w:t>«Что подтверждает сквозной сценарий?» — Последовательность действий в разных ролях, сохранённые статусы и итоговый документ или запись у следующего участника. Для C1 нужно открыть сам PDF и историю спортсмена.</w:t>
      </w:r>
    </w:p>
    <w:p>
      <w:pPr>
        <w:pStyle w:val="ListBullet"/>
      </w:pPr>
      <w:r>
        <w:t>«Где проверяются права?» — На сервере при каждом действии и обращении к конкретной записи. Скрытая кнопка не заменяет проверку; недопустимый запрос должен отклоняться.</w:t>
      </w:r>
    </w:p>
    <w:p>
      <w:pPr>
        <w:pStyle w:val="ListBullet"/>
      </w:pPr>
      <w:r>
        <w:t>«Разряд и премия назначаются автоматически?» — Система подбирает основания и готовит сведения. Решение сохраняет уполномоченный сотрудник; критерии и суммы требуют действующих источников.</w:t>
      </w:r>
    </w:p>
    <w:p>
      <w:pPr>
        <w:pStyle w:val="ListBullet"/>
      </w:pPr>
      <w:r>
        <w:t>«Какие внешние подключения уже можно считать показанными?» — Только те, для которых продемонстрированы настроенный получатель и фактический ответ. Очередь, локальный тестовый клиент или файл письма сами по себе не подтверждают интеграцию с реальным партнёром.</w:t>
      </w:r>
    </w:p>
    <w:p>
      <w:pPr>
        <w:pStyle w:val="ListBullet"/>
      </w:pPr>
      <w:r>
        <w:t>«Все девять сценариев показаны в старом видео?» — Нет. Существующее checkpoint-2.mp4 показывает первый цикл соревнования. Этот документ — план расширенного показа C1–C9; для подтверждения остальных блоков нужны отдельные действия на стенде или новая запись.</w:t>
      </w:r>
    </w:p>
    <w:p>
      <w:pPr>
        <w:pStyle w:val="Heading1"/>
        <w:pageBreakBefore w:val="0"/>
      </w:pPr>
      <w:r>
        <w:t>Источники и границы материала</w:t>
      </w:r>
    </w:p>
    <w:p>
      <w:pPr/>
      <w:r>
        <w:t>Основа нумерации: docs/acceptance.md, разделы 1–9. Учтено уточнение аккаунтов из docs/changes-2026-10-28.md: министерство создаёт федерации, но не изменяет спортивные результаты. Подробности настройки находятся в README.md и документации модулей.</w:t>
      </w:r>
    </w:p>
    <w:p>
      <w:pPr/>
      <w:r>
        <w:t>Этот материал описывает план демонстрации возможностей проекта. Он не утверждает, что новая запись C1–C9 уже выполнена, внешние сервисы подключены или выгрузки совпадают с отсутствующими в исходных материалах утверждёнными бланками.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7282"/>
        <w:sz w:val="18"/>
      </w:rPr>
      <w:t xml:space="preserve">Чекпоинт № 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7282"/>
        <w:sz w:val="16"/>
      </w:rPr>
      <w:t>ОРЕНКОД  /  ДЕМОНСТРАЦИЯ СКВОЗНЫХ СЦЕНАРИЕВ C1–C9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203342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B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173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173B5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Чекпоинт № 2 — демонстрация C1–C9</dc:title>
  <dc:subject>Стек, сквозные сценарии, план показа и речь для защиты</dc:subject>
  <dc:creator>ОренКод</dc:creator>
  <cp:keywords/>
  <dc:description>generated by python-docx</dc:description>
  <cp:lastModifiedBy/>
  <cp:revision>1</cp:revision>
  <dcterms:created xsi:type="dcterms:W3CDTF">2026-10-28T15:49:40Z</dcterms:created>
  <dcterms:modified xsi:type="dcterms:W3CDTF">2026-10-28T15:49:40Z</dcterms:modified>
  <cp:category/>
  <dc:language>ru-RU</dc:language>
</cp:coreProperties>
</file>