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D1E" w:rsidRPr="000B4D1E" w:rsidRDefault="000B4D1E" w:rsidP="000B4D1E">
      <w:pPr>
        <w:rPr>
          <w:rFonts w:cstheme="minorHAnsi"/>
        </w:rPr>
      </w:pPr>
      <w:r w:rsidRPr="000B4D1E">
        <w:rPr>
          <w:rFonts w:cstheme="minorHAnsi"/>
        </w:rPr>
        <w:t>Mark Levine</w:t>
      </w:r>
    </w:p>
    <w:p w:rsidR="000B4D1E" w:rsidRPr="000B4D1E" w:rsidRDefault="000B4D1E" w:rsidP="000B4D1E">
      <w:pPr>
        <w:rPr>
          <w:rFonts w:cstheme="minorHAnsi"/>
        </w:rPr>
      </w:pPr>
      <w:r w:rsidRPr="000B4D1E">
        <w:rPr>
          <w:rFonts w:cstheme="minorHAnsi"/>
        </w:rPr>
        <w:t>UCI Data Analytics Bootcamp</w:t>
      </w:r>
    </w:p>
    <w:p w:rsidR="000B4D1E" w:rsidRPr="000B4D1E" w:rsidRDefault="000B4D1E" w:rsidP="000B4D1E">
      <w:pPr>
        <w:rPr>
          <w:rFonts w:cstheme="minorHAnsi"/>
        </w:rPr>
      </w:pPr>
      <w:r w:rsidRPr="000B4D1E">
        <w:rPr>
          <w:rFonts w:cstheme="minorHAnsi"/>
        </w:rPr>
        <w:t>July 26, 2018</w:t>
      </w:r>
    </w:p>
    <w:p w:rsidR="00EB1E48" w:rsidRPr="000B4D1E" w:rsidRDefault="00EB1E48" w:rsidP="00EB1E48">
      <w:pPr>
        <w:pStyle w:val="Heading1"/>
        <w:rPr>
          <w:rFonts w:asciiTheme="minorHAnsi" w:hAnsiTheme="minorHAnsi" w:cstheme="minorHAnsi"/>
        </w:rPr>
      </w:pPr>
      <w:r w:rsidRPr="000B4D1E">
        <w:rPr>
          <w:rFonts w:asciiTheme="minorHAnsi" w:hAnsiTheme="minorHAnsi" w:cstheme="minorHAnsi"/>
        </w:rPr>
        <w:t xml:space="preserve">Unit 1 | Assignment - </w:t>
      </w:r>
      <w:proofErr w:type="spellStart"/>
      <w:r w:rsidRPr="000B4D1E">
        <w:rPr>
          <w:rFonts w:asciiTheme="minorHAnsi" w:hAnsiTheme="minorHAnsi" w:cstheme="minorHAnsi"/>
        </w:rPr>
        <w:t>KickStart</w:t>
      </w:r>
      <w:proofErr w:type="spellEnd"/>
      <w:r w:rsidRPr="000B4D1E">
        <w:rPr>
          <w:rFonts w:asciiTheme="minorHAnsi" w:hAnsiTheme="minorHAnsi" w:cstheme="minorHAnsi"/>
        </w:rPr>
        <w:t xml:space="preserve"> My Chart</w:t>
      </w:r>
    </w:p>
    <w:p w:rsidR="00EB1E48" w:rsidRPr="000B4D1E" w:rsidRDefault="00EB1E48" w:rsidP="00EB1E48">
      <w:pPr>
        <w:pStyle w:val="Heading2"/>
        <w:rPr>
          <w:rFonts w:asciiTheme="minorHAnsi" w:hAnsiTheme="minorHAnsi" w:cstheme="minorHAnsi"/>
        </w:rPr>
      </w:pPr>
      <w:r w:rsidRPr="000B4D1E">
        <w:rPr>
          <w:rFonts w:asciiTheme="minorHAnsi" w:hAnsiTheme="minorHAnsi" w:cstheme="minorHAnsi"/>
        </w:rPr>
        <w:t xml:space="preserve">What are three conclusions we can make about Kickstarter campaigns given the provided </w:t>
      </w:r>
    </w:p>
    <w:p w:rsidR="00EB1E48" w:rsidRPr="000B4D1E" w:rsidRDefault="00EB1E48" w:rsidP="00EB1E48">
      <w:pPr>
        <w:pStyle w:val="Heading2"/>
        <w:rPr>
          <w:rFonts w:asciiTheme="minorHAnsi" w:hAnsiTheme="minorHAnsi" w:cstheme="minorHAnsi"/>
        </w:rPr>
      </w:pPr>
      <w:r w:rsidRPr="000B4D1E">
        <w:rPr>
          <w:rFonts w:asciiTheme="minorHAnsi" w:hAnsiTheme="minorHAnsi" w:cstheme="minorHAnsi"/>
        </w:rPr>
        <w:t>data?</w:t>
      </w:r>
    </w:p>
    <w:p w:rsidR="00A21A1D" w:rsidRPr="000B4D1E" w:rsidRDefault="00EB1E48" w:rsidP="00EB1E48">
      <w:pPr>
        <w:pStyle w:val="ListParagraph"/>
        <w:numPr>
          <w:ilvl w:val="0"/>
          <w:numId w:val="1"/>
        </w:numPr>
        <w:rPr>
          <w:rFonts w:cstheme="minorHAnsi"/>
        </w:rPr>
      </w:pPr>
      <w:r w:rsidRPr="000B4D1E">
        <w:rPr>
          <w:rFonts w:cstheme="minorHAnsi"/>
        </w:rPr>
        <w:t>From a pure volume perspective, theatre (1,393 projects</w:t>
      </w:r>
      <w:proofErr w:type="gramStart"/>
      <w:r w:rsidRPr="000B4D1E">
        <w:rPr>
          <w:rFonts w:cstheme="minorHAnsi"/>
        </w:rPr>
        <w:t>) ,</w:t>
      </w:r>
      <w:proofErr w:type="gramEnd"/>
      <w:r w:rsidRPr="000B4D1E">
        <w:rPr>
          <w:rFonts w:cstheme="minorHAnsi"/>
        </w:rPr>
        <w:t xml:space="preserve"> music (700) , technology (600) and film &amp; video (520) are the most popular ventures with theatre’s volume considerably higher than the rest. </w:t>
      </w:r>
      <w:r w:rsidR="00E51B0E" w:rsidRPr="000B4D1E">
        <w:rPr>
          <w:rFonts w:cstheme="minorHAnsi"/>
        </w:rPr>
        <w:t xml:space="preserve">Further, </w:t>
      </w:r>
      <w:r w:rsidR="00A97846" w:rsidRPr="000B4D1E">
        <w:rPr>
          <w:rFonts w:cstheme="minorHAnsi"/>
        </w:rPr>
        <w:t xml:space="preserve">music-based projects yielded the highest success rate (77.1%) calculated by dividing successful projects by total project counts; theater (60.2%) and film &amp; video (57.7%) were the second and third most successful project categories, respectively. </w:t>
      </w:r>
      <w:r w:rsidR="006E4C5A" w:rsidRPr="000B4D1E">
        <w:rPr>
          <w:rFonts w:cstheme="minorHAnsi"/>
        </w:rPr>
        <w:t xml:space="preserve">On the other side of the coin, the least successful as measured by failed % included food (70.0%), games (63.6%), and publishing (53.6%). </w:t>
      </w:r>
    </w:p>
    <w:p w:rsidR="00A21A1D" w:rsidRPr="000B4D1E" w:rsidRDefault="00A21A1D" w:rsidP="00A21A1D">
      <w:pPr>
        <w:pStyle w:val="ListParagraph"/>
        <w:rPr>
          <w:rFonts w:cstheme="minorHAnsi"/>
        </w:rPr>
      </w:pPr>
      <w:r w:rsidRPr="000B4D1E">
        <w:rPr>
          <w:rFonts w:cstheme="minorHAnsi"/>
          <w:noProof/>
        </w:rPr>
        <w:drawing>
          <wp:inline distT="0" distB="0" distL="0" distR="0" wp14:anchorId="743D1869" wp14:editId="66DE57B9">
            <wp:extent cx="5943600" cy="2552700"/>
            <wp:effectExtent l="0" t="0" r="0" b="0"/>
            <wp:docPr id="1" name="Chart 1">
              <a:extLst xmlns:a="http://schemas.openxmlformats.org/drawingml/2006/main">
                <a:ext uri="{FF2B5EF4-FFF2-40B4-BE49-F238E27FC236}">
                  <a16:creationId xmlns:a16="http://schemas.microsoft.com/office/drawing/2014/main" id="{5A33EDE3-4704-4E69-B1E7-73B118C502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21A1D" w:rsidRPr="000B4D1E" w:rsidRDefault="00A21A1D" w:rsidP="00A21A1D">
      <w:pPr>
        <w:pStyle w:val="ListParagraph"/>
        <w:rPr>
          <w:rFonts w:cstheme="minorHAnsi"/>
        </w:rPr>
      </w:pPr>
      <w:r w:rsidRPr="000B4D1E">
        <w:rPr>
          <w:rFonts w:cstheme="minorHAnsi"/>
          <w:noProof/>
        </w:rPr>
        <w:lastRenderedPageBreak/>
        <w:drawing>
          <wp:inline distT="0" distB="0" distL="0" distR="0" wp14:anchorId="73C13CD7" wp14:editId="5747E73C">
            <wp:extent cx="5943600" cy="2724150"/>
            <wp:effectExtent l="0" t="0" r="0" b="0"/>
            <wp:docPr id="2" name="Chart 2">
              <a:extLst xmlns:a="http://schemas.openxmlformats.org/drawingml/2006/main">
                <a:ext uri="{FF2B5EF4-FFF2-40B4-BE49-F238E27FC236}">
                  <a16:creationId xmlns:a16="http://schemas.microsoft.com/office/drawing/2014/main" id="{4E3F418D-321B-45BF-8774-8DA9B38FB8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B1E48" w:rsidRPr="000B4D1E" w:rsidRDefault="00A21A1D" w:rsidP="00EB1E48">
      <w:pPr>
        <w:pStyle w:val="ListParagraph"/>
        <w:numPr>
          <w:ilvl w:val="0"/>
          <w:numId w:val="1"/>
        </w:numPr>
        <w:rPr>
          <w:rFonts w:cstheme="minorHAnsi"/>
        </w:rPr>
      </w:pPr>
      <w:r w:rsidRPr="000B4D1E">
        <w:rPr>
          <w:rFonts w:cstheme="minorHAnsi"/>
        </w:rPr>
        <w:t xml:space="preserve">Geographically, the United States (3,038 projects comprising 73.9% of total) was the most popular country likely due to the fact </w:t>
      </w:r>
      <w:proofErr w:type="spellStart"/>
      <w:r w:rsidRPr="000B4D1E">
        <w:rPr>
          <w:rFonts w:cstheme="minorHAnsi"/>
        </w:rPr>
        <w:t>KickStarter</w:t>
      </w:r>
      <w:proofErr w:type="spellEnd"/>
      <w:r w:rsidRPr="000B4D1E">
        <w:rPr>
          <w:rFonts w:cstheme="minorHAnsi"/>
        </w:rPr>
        <w:t xml:space="preserve"> is a US founded business entity</w:t>
      </w:r>
      <w:r w:rsidR="001329F7" w:rsidRPr="000B4D1E">
        <w:rPr>
          <w:rFonts w:cstheme="minorHAnsi"/>
        </w:rPr>
        <w:t xml:space="preserve"> with significant resources and advertising in the US</w:t>
      </w:r>
      <w:r w:rsidRPr="000B4D1E">
        <w:rPr>
          <w:rFonts w:cstheme="minorHAnsi"/>
        </w:rPr>
        <w:t xml:space="preserve">; Great Britain (604 </w:t>
      </w:r>
      <w:r w:rsidR="001329F7" w:rsidRPr="000B4D1E">
        <w:rPr>
          <w:rFonts w:cstheme="minorHAnsi"/>
        </w:rPr>
        <w:t xml:space="preserve">projects </w:t>
      </w:r>
      <w:r w:rsidRPr="000B4D1E">
        <w:rPr>
          <w:rFonts w:cstheme="minorHAnsi"/>
        </w:rPr>
        <w:t xml:space="preserve">at 14.7% of </w:t>
      </w:r>
      <w:proofErr w:type="gramStart"/>
      <w:r w:rsidRPr="000B4D1E">
        <w:rPr>
          <w:rFonts w:cstheme="minorHAnsi"/>
        </w:rPr>
        <w:t xml:space="preserve">total) </w:t>
      </w:r>
      <w:r w:rsidR="001329F7" w:rsidRPr="000B4D1E">
        <w:rPr>
          <w:rFonts w:cstheme="minorHAnsi"/>
        </w:rPr>
        <w:t xml:space="preserve"> and</w:t>
      </w:r>
      <w:proofErr w:type="gramEnd"/>
      <w:r w:rsidR="001329F7" w:rsidRPr="000B4D1E">
        <w:rPr>
          <w:rFonts w:cstheme="minorHAnsi"/>
        </w:rPr>
        <w:t xml:space="preserve"> Canada (146 projects at 3.6% of total) came in second and third, respectively. Theater and music were the most popular in the US, GB and Canada. Music had the highest success rate in all three of the US, Great Britain and Canada. </w:t>
      </w:r>
    </w:p>
    <w:p w:rsidR="00D00A5E" w:rsidRPr="00372BE2" w:rsidRDefault="00535AD7" w:rsidP="009449B6">
      <w:pPr>
        <w:pStyle w:val="ListParagraph"/>
        <w:numPr>
          <w:ilvl w:val="0"/>
          <w:numId w:val="1"/>
        </w:numPr>
        <w:ind w:left="360"/>
        <w:rPr>
          <w:rFonts w:cstheme="minorHAnsi"/>
        </w:rPr>
      </w:pPr>
      <w:r w:rsidRPr="00372BE2">
        <w:rPr>
          <w:rFonts w:cstheme="minorHAnsi"/>
        </w:rPr>
        <w:t xml:space="preserve">The average donation amount from backer’s is considerably skewed as 89.8% of the average donation amounts were less than $155; </w:t>
      </w:r>
    </w:p>
    <w:p w:rsidR="00C01E70" w:rsidRPr="000B4D1E" w:rsidRDefault="00C01E70" w:rsidP="00C01E70">
      <w:pPr>
        <w:pStyle w:val="ListParagraph"/>
        <w:rPr>
          <w:rFonts w:cstheme="minorHAnsi"/>
        </w:rPr>
      </w:pPr>
    </w:p>
    <w:p w:rsidR="00E51B0E" w:rsidRPr="000B4D1E" w:rsidRDefault="00E51B0E" w:rsidP="00E51B0E">
      <w:pPr>
        <w:pStyle w:val="ListParagraph"/>
        <w:rPr>
          <w:rFonts w:cstheme="minorHAnsi"/>
        </w:rPr>
      </w:pPr>
    </w:p>
    <w:p w:rsidR="00C01E70" w:rsidRPr="000B4D1E" w:rsidRDefault="00C01E70" w:rsidP="00E51B0E">
      <w:pPr>
        <w:pStyle w:val="ListParagraph"/>
        <w:rPr>
          <w:rFonts w:cstheme="minorHAnsi"/>
        </w:rPr>
      </w:pPr>
    </w:p>
    <w:p w:rsidR="00EB1E48" w:rsidRPr="000B4D1E" w:rsidRDefault="00EB1E48" w:rsidP="00EB1E48">
      <w:pPr>
        <w:pStyle w:val="Heading2"/>
        <w:rPr>
          <w:rFonts w:asciiTheme="minorHAnsi" w:hAnsiTheme="minorHAnsi" w:cstheme="minorHAnsi"/>
        </w:rPr>
      </w:pPr>
      <w:r w:rsidRPr="000B4D1E">
        <w:rPr>
          <w:rFonts w:asciiTheme="minorHAnsi" w:hAnsiTheme="minorHAnsi" w:cstheme="minorHAnsi"/>
        </w:rPr>
        <w:t>What are some of the limitations of this dataset?</w:t>
      </w:r>
    </w:p>
    <w:p w:rsidR="00D00A5E" w:rsidRPr="000B4D1E" w:rsidRDefault="00D00A5E" w:rsidP="00D00A5E">
      <w:pPr>
        <w:pStyle w:val="ListParagraph"/>
        <w:numPr>
          <w:ilvl w:val="0"/>
          <w:numId w:val="2"/>
        </w:numPr>
        <w:rPr>
          <w:rFonts w:cstheme="minorHAnsi"/>
        </w:rPr>
      </w:pPr>
      <w:r w:rsidRPr="000B4D1E">
        <w:rPr>
          <w:rFonts w:cstheme="minorHAnsi"/>
        </w:rPr>
        <w:t xml:space="preserve">Considerable skewness as it relates to geolocation: the US (73.9% of all projects) dominates the data set which is likely due </w:t>
      </w:r>
      <w:proofErr w:type="spellStart"/>
      <w:r w:rsidR="00821741" w:rsidRPr="000B4D1E">
        <w:rPr>
          <w:rFonts w:cstheme="minorHAnsi"/>
        </w:rPr>
        <w:t>KickStarter</w:t>
      </w:r>
      <w:proofErr w:type="spellEnd"/>
      <w:r w:rsidR="00821741" w:rsidRPr="000B4D1E">
        <w:rPr>
          <w:rFonts w:cstheme="minorHAnsi"/>
        </w:rPr>
        <w:t xml:space="preserve"> being a U.S. based entity and the fact the “starving artist” persona is most popu</w:t>
      </w:r>
      <w:r w:rsidR="00626A7F" w:rsidRPr="000B4D1E">
        <w:rPr>
          <w:rFonts w:cstheme="minorHAnsi"/>
        </w:rPr>
        <w:t xml:space="preserve">lar in the United States compared with the rest of the world. </w:t>
      </w:r>
    </w:p>
    <w:p w:rsidR="00626A7F" w:rsidRPr="000B4D1E" w:rsidRDefault="00626A7F" w:rsidP="00D00A5E">
      <w:pPr>
        <w:pStyle w:val="ListParagraph"/>
        <w:numPr>
          <w:ilvl w:val="0"/>
          <w:numId w:val="2"/>
        </w:numPr>
        <w:rPr>
          <w:rFonts w:cstheme="minorHAnsi"/>
        </w:rPr>
      </w:pPr>
      <w:r w:rsidRPr="000B4D1E">
        <w:rPr>
          <w:rFonts w:cstheme="minorHAnsi"/>
        </w:rPr>
        <w:t>The data set lacks information about the backers: what industry are the backers from? What are the reasons the backers are investing? What is the distribution of the investments from the backers as opposed to a simple average (i.e. is it one backer giving 90% or even split 2-3% from each backer?)</w:t>
      </w:r>
    </w:p>
    <w:p w:rsidR="00535AD7" w:rsidRPr="000B4D1E" w:rsidRDefault="00535AD7" w:rsidP="00D00A5E">
      <w:pPr>
        <w:pStyle w:val="ListParagraph"/>
        <w:numPr>
          <w:ilvl w:val="0"/>
          <w:numId w:val="2"/>
        </w:numPr>
        <w:rPr>
          <w:rFonts w:cstheme="minorHAnsi"/>
        </w:rPr>
      </w:pPr>
      <w:r w:rsidRPr="000B4D1E">
        <w:rPr>
          <w:rFonts w:cstheme="minorHAnsi"/>
        </w:rPr>
        <w:t>The data set lacks a key which describes in detail each field’s purpose and source</w:t>
      </w:r>
    </w:p>
    <w:p w:rsidR="00535AD7" w:rsidRPr="000B4D1E" w:rsidRDefault="009449B6" w:rsidP="00D00A5E">
      <w:pPr>
        <w:pStyle w:val="ListParagraph"/>
        <w:numPr>
          <w:ilvl w:val="0"/>
          <w:numId w:val="2"/>
        </w:numPr>
        <w:rPr>
          <w:rFonts w:cstheme="minorHAnsi"/>
        </w:rPr>
      </w:pPr>
      <w:r w:rsidRPr="000B4D1E">
        <w:rPr>
          <w:rFonts w:cstheme="minorHAnsi"/>
        </w:rPr>
        <w:t xml:space="preserve">While the blurb field may have useful information, it is highly inconsistent. </w:t>
      </w:r>
      <w:r w:rsidR="00A87B8A" w:rsidRPr="000B4D1E">
        <w:rPr>
          <w:rFonts w:cstheme="minorHAnsi"/>
        </w:rPr>
        <w:t>However</w:t>
      </w:r>
      <w:r w:rsidRPr="000B4D1E">
        <w:rPr>
          <w:rFonts w:cstheme="minorHAnsi"/>
        </w:rPr>
        <w:t>, it may be used for sentiment analysis (good, bad, neutral) and other Natural Language Process analyses.</w:t>
      </w:r>
    </w:p>
    <w:p w:rsidR="009449B6" w:rsidRPr="000B4D1E" w:rsidRDefault="009449B6" w:rsidP="00D00A5E">
      <w:pPr>
        <w:pStyle w:val="ListParagraph"/>
        <w:numPr>
          <w:ilvl w:val="0"/>
          <w:numId w:val="2"/>
        </w:numPr>
        <w:rPr>
          <w:rFonts w:cstheme="minorHAnsi"/>
        </w:rPr>
      </w:pPr>
      <w:r w:rsidRPr="000B4D1E">
        <w:rPr>
          <w:rFonts w:cstheme="minorHAnsi"/>
        </w:rPr>
        <w:t>The data set could be improved by adding demographic fields for the project leaders (age, background/industry, how many projects that individual has made to date, etc.)</w:t>
      </w:r>
    </w:p>
    <w:p w:rsidR="00114D7D" w:rsidRPr="000B4D1E" w:rsidRDefault="00A87B8A" w:rsidP="000B4D1E">
      <w:pPr>
        <w:rPr>
          <w:rFonts w:cstheme="minorHAnsi"/>
        </w:rPr>
      </w:pPr>
      <w:r w:rsidRPr="000B4D1E">
        <w:rPr>
          <w:rFonts w:cstheme="minorHAnsi"/>
        </w:rPr>
        <w:br w:type="page"/>
      </w:r>
      <w:r w:rsidR="00EB1E48" w:rsidRPr="000B4D1E">
        <w:rPr>
          <w:rFonts w:cstheme="minorHAnsi"/>
        </w:rPr>
        <w:lastRenderedPageBreak/>
        <w:t>What are some other possible tables/graphs that we could create?</w:t>
      </w:r>
    </w:p>
    <w:p w:rsidR="00A87B8A" w:rsidRPr="001F13B4" w:rsidRDefault="00A87B8A" w:rsidP="001F13B4">
      <w:pPr>
        <w:pStyle w:val="ListParagraph"/>
        <w:numPr>
          <w:ilvl w:val="0"/>
          <w:numId w:val="3"/>
        </w:numPr>
        <w:rPr>
          <w:rFonts w:cstheme="minorHAnsi"/>
        </w:rPr>
      </w:pPr>
      <w:r w:rsidRPr="001F13B4">
        <w:rPr>
          <w:rFonts w:cstheme="minorHAnsi"/>
        </w:rPr>
        <w:t>Histogram of the average investment per Backer:</w:t>
      </w:r>
    </w:p>
    <w:p w:rsidR="00A87B8A" w:rsidRPr="000B4D1E" w:rsidRDefault="00A87B8A" w:rsidP="00A87B8A">
      <w:pPr>
        <w:rPr>
          <w:rFonts w:cstheme="minorHAnsi"/>
        </w:rPr>
      </w:pPr>
      <w:r w:rsidRPr="000B4D1E">
        <w:rPr>
          <w:rFonts w:cstheme="minorHAnsi"/>
          <w:noProof/>
        </w:rPr>
        <w:drawing>
          <wp:inline distT="0" distB="0" distL="0" distR="0" wp14:anchorId="4AF73007" wp14:editId="07FA6320">
            <wp:extent cx="5943600" cy="3584575"/>
            <wp:effectExtent l="0" t="0" r="0" b="15875"/>
            <wp:docPr id="3" name="Chart 3">
              <a:extLst xmlns:a="http://schemas.openxmlformats.org/drawingml/2006/main">
                <a:ext uri="{FF2B5EF4-FFF2-40B4-BE49-F238E27FC236}">
                  <a16:creationId xmlns:a16="http://schemas.microsoft.com/office/drawing/2014/main" id="{3F654046-82F3-48C3-9DCA-ACAA7EDD9C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87B8A" w:rsidRPr="001F13B4" w:rsidRDefault="00A87B8A" w:rsidP="001F13B4">
      <w:pPr>
        <w:pStyle w:val="ListParagraph"/>
        <w:numPr>
          <w:ilvl w:val="0"/>
          <w:numId w:val="3"/>
        </w:numPr>
        <w:rPr>
          <w:rFonts w:cstheme="minorHAnsi"/>
        </w:rPr>
      </w:pPr>
      <w:r w:rsidRPr="001F13B4">
        <w:rPr>
          <w:rFonts w:cstheme="minorHAnsi"/>
        </w:rPr>
        <w:t xml:space="preserve">Geographic distribution of country </w:t>
      </w:r>
      <w:proofErr w:type="gramStart"/>
      <w:r w:rsidRPr="001F13B4">
        <w:rPr>
          <w:rFonts w:cstheme="minorHAnsi"/>
        </w:rPr>
        <w:t xml:space="preserve">and  </w:t>
      </w:r>
      <w:r w:rsidR="00372BE2" w:rsidRPr="001F13B4">
        <w:rPr>
          <w:rFonts w:cstheme="minorHAnsi"/>
        </w:rPr>
        <w:t>status</w:t>
      </w:r>
      <w:proofErr w:type="gramEnd"/>
      <w:r w:rsidR="00372BE2" w:rsidRPr="001F13B4">
        <w:rPr>
          <w:rFonts w:cstheme="minorHAnsi"/>
        </w:rPr>
        <w:t>/success rates</w:t>
      </w:r>
    </w:p>
    <w:p w:rsidR="00A87B8A" w:rsidRDefault="00A87B8A" w:rsidP="00A87B8A">
      <w:pPr>
        <w:rPr>
          <w:rFonts w:cstheme="minorHAnsi"/>
        </w:rPr>
      </w:pPr>
      <w:r w:rsidRPr="000B4D1E">
        <w:rPr>
          <w:rFonts w:cstheme="minorHAnsi"/>
          <w:noProof/>
        </w:rPr>
        <w:drawing>
          <wp:inline distT="0" distB="0" distL="0" distR="0" wp14:anchorId="3052D499" wp14:editId="740ED6FF">
            <wp:extent cx="5943600" cy="3515995"/>
            <wp:effectExtent l="0" t="0" r="0" b="8255"/>
            <wp:docPr id="4" name="Chart 4">
              <a:extLst xmlns:a="http://schemas.openxmlformats.org/drawingml/2006/main">
                <a:ext uri="{FF2B5EF4-FFF2-40B4-BE49-F238E27FC236}">
                  <a16:creationId xmlns:a16="http://schemas.microsoft.com/office/drawing/2014/main" id="{4BC5800D-3C97-443C-8774-A8ECEF93A9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72BE2" w:rsidRPr="001F13B4" w:rsidRDefault="001F13B4" w:rsidP="001F13B4">
      <w:pPr>
        <w:pStyle w:val="ListParagraph"/>
        <w:numPr>
          <w:ilvl w:val="0"/>
          <w:numId w:val="3"/>
        </w:numPr>
        <w:rPr>
          <w:rFonts w:cstheme="minorHAnsi"/>
        </w:rPr>
      </w:pPr>
      <w:r w:rsidRPr="001F13B4">
        <w:rPr>
          <w:rFonts w:cstheme="minorHAnsi"/>
        </w:rPr>
        <w:lastRenderedPageBreak/>
        <w:t>Histogram</w:t>
      </w:r>
      <w:r w:rsidR="00372BE2" w:rsidRPr="001F13B4">
        <w:rPr>
          <w:rFonts w:cstheme="minorHAnsi"/>
        </w:rPr>
        <w:t xml:space="preserve"> of the pledged amount per project: reveals significant right skew (left heavy) whereby the most frequent investment pledge amounts were ~1-$2,000. However, the average pledge amount was $11,223 which differs </w:t>
      </w:r>
      <w:r w:rsidRPr="001F13B4">
        <w:rPr>
          <w:rFonts w:cstheme="minorHAnsi"/>
        </w:rPr>
        <w:t>significantly</w:t>
      </w:r>
      <w:r w:rsidR="00372BE2" w:rsidRPr="001F13B4">
        <w:rPr>
          <w:rFonts w:cstheme="minorHAnsi"/>
        </w:rPr>
        <w:t xml:space="preserve"> from the median of $1,562. </w:t>
      </w:r>
      <w:r w:rsidR="00983EDA" w:rsidRPr="001F13B4">
        <w:rPr>
          <w:rFonts w:cstheme="minorHAnsi"/>
        </w:rPr>
        <w:t xml:space="preserve">The maximum pledge amount, quite the outlier, was $2.3 million. </w:t>
      </w:r>
    </w:p>
    <w:p w:rsidR="000B4D1E" w:rsidRDefault="000B4D1E" w:rsidP="00A87B8A">
      <w:pPr>
        <w:rPr>
          <w:rFonts w:cstheme="minorHAnsi"/>
        </w:rPr>
      </w:pPr>
      <w:r w:rsidRPr="000B4D1E">
        <w:rPr>
          <w:rFonts w:cstheme="minorHAnsi"/>
          <w:noProof/>
        </w:rPr>
        <w:drawing>
          <wp:inline distT="0" distB="0" distL="0" distR="0" wp14:anchorId="191DD741" wp14:editId="3CE64BC6">
            <wp:extent cx="5943600" cy="3467100"/>
            <wp:effectExtent l="0" t="0" r="0" b="0"/>
            <wp:docPr id="5" name="Chart 5">
              <a:extLst xmlns:a="http://schemas.openxmlformats.org/drawingml/2006/main">
                <a:ext uri="{FF2B5EF4-FFF2-40B4-BE49-F238E27FC236}">
                  <a16:creationId xmlns:a16="http://schemas.microsoft.com/office/drawing/2014/main" id="{BB726760-F794-444C-B7A4-890283422B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67126" w:rsidRPr="000B4D1E" w:rsidRDefault="00867126" w:rsidP="00A87B8A">
      <w:pPr>
        <w:rPr>
          <w:rFonts w:cstheme="minorHAnsi"/>
        </w:rPr>
      </w:pPr>
      <w:r>
        <w:rPr>
          <w:noProof/>
        </w:rPr>
        <w:drawing>
          <wp:inline distT="0" distB="0" distL="0" distR="0" wp14:anchorId="3CE5E05F" wp14:editId="36D9076C">
            <wp:extent cx="5943600" cy="2660015"/>
            <wp:effectExtent l="0" t="0" r="0" b="6985"/>
            <wp:docPr id="6" name="Chart 6">
              <a:extLst xmlns:a="http://schemas.openxmlformats.org/drawingml/2006/main">
                <a:ext uri="{FF2B5EF4-FFF2-40B4-BE49-F238E27FC236}">
                  <a16:creationId xmlns:a16="http://schemas.microsoft.com/office/drawing/2014/main" id="{51EA1BCD-0BA8-478F-AA5D-F5EB95D0B4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Start w:id="0" w:name="_GoBack"/>
      <w:bookmarkEnd w:id="0"/>
    </w:p>
    <w:sectPr w:rsidR="00867126" w:rsidRPr="000B4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229E2"/>
    <w:multiLevelType w:val="hybridMultilevel"/>
    <w:tmpl w:val="5950D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8A24D1"/>
    <w:multiLevelType w:val="hybridMultilevel"/>
    <w:tmpl w:val="2508E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511FC8"/>
    <w:multiLevelType w:val="hybridMultilevel"/>
    <w:tmpl w:val="29864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E48"/>
    <w:rsid w:val="0006693F"/>
    <w:rsid w:val="000B4D1E"/>
    <w:rsid w:val="00114D7D"/>
    <w:rsid w:val="001329F7"/>
    <w:rsid w:val="001F13B4"/>
    <w:rsid w:val="00372BE2"/>
    <w:rsid w:val="00535AD7"/>
    <w:rsid w:val="00626A7F"/>
    <w:rsid w:val="006E4C5A"/>
    <w:rsid w:val="00701C29"/>
    <w:rsid w:val="00821741"/>
    <w:rsid w:val="00867126"/>
    <w:rsid w:val="00891B3E"/>
    <w:rsid w:val="009449B6"/>
    <w:rsid w:val="00983EDA"/>
    <w:rsid w:val="00A21A1D"/>
    <w:rsid w:val="00A816EC"/>
    <w:rsid w:val="00A87B8A"/>
    <w:rsid w:val="00A97846"/>
    <w:rsid w:val="00C01E70"/>
    <w:rsid w:val="00C8668C"/>
    <w:rsid w:val="00D00A5E"/>
    <w:rsid w:val="00DB7313"/>
    <w:rsid w:val="00E51B0E"/>
    <w:rsid w:val="00EB1E48"/>
    <w:rsid w:val="00F02910"/>
    <w:rsid w:val="00F80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8F095"/>
  <w15:chartTrackingRefBased/>
  <w15:docId w15:val="{BF655B7C-E479-4B5C-A829-AC5D4529D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D1E"/>
    <w:pPr>
      <w:keepNext/>
      <w:keepLines/>
      <w:spacing w:before="240" w:after="0"/>
      <w:outlineLvl w:val="0"/>
    </w:pPr>
    <w:rPr>
      <w:rFonts w:asciiTheme="majorHAnsi" w:eastAsiaTheme="majorEastAsia" w:hAnsiTheme="majorHAnsi" w:cstheme="majorBidi"/>
      <w:b/>
      <w:sz w:val="24"/>
      <w:szCs w:val="32"/>
      <w:u w:val="single"/>
    </w:rPr>
  </w:style>
  <w:style w:type="paragraph" w:styleId="Heading2">
    <w:name w:val="heading 2"/>
    <w:basedOn w:val="Normal"/>
    <w:next w:val="Normal"/>
    <w:link w:val="Heading2Char"/>
    <w:uiPriority w:val="9"/>
    <w:unhideWhenUsed/>
    <w:qFormat/>
    <w:rsid w:val="00EB1E48"/>
    <w:pPr>
      <w:keepNext/>
      <w:keepLines/>
      <w:spacing w:before="40" w:after="0"/>
      <w:outlineLvl w:val="1"/>
    </w:pPr>
    <w:rPr>
      <w:rFonts w:asciiTheme="majorHAnsi" w:eastAsiaTheme="majorEastAsia" w:hAnsiTheme="majorHAnsi" w:cstheme="majorBidi"/>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D1E"/>
    <w:rPr>
      <w:rFonts w:asciiTheme="majorHAnsi" w:eastAsiaTheme="majorEastAsia" w:hAnsiTheme="majorHAnsi" w:cstheme="majorBidi"/>
      <w:b/>
      <w:sz w:val="24"/>
      <w:szCs w:val="32"/>
      <w:u w:val="single"/>
    </w:rPr>
  </w:style>
  <w:style w:type="character" w:customStyle="1" w:styleId="Heading2Char">
    <w:name w:val="Heading 2 Char"/>
    <w:basedOn w:val="DefaultParagraphFont"/>
    <w:link w:val="Heading2"/>
    <w:uiPriority w:val="9"/>
    <w:rsid w:val="00EB1E48"/>
    <w:rPr>
      <w:rFonts w:asciiTheme="majorHAnsi" w:eastAsiaTheme="majorEastAsia" w:hAnsiTheme="majorHAnsi" w:cstheme="majorBidi"/>
      <w:i/>
      <w:sz w:val="26"/>
      <w:szCs w:val="26"/>
    </w:rPr>
  </w:style>
  <w:style w:type="paragraph" w:styleId="ListParagraph">
    <w:name w:val="List Paragraph"/>
    <w:basedOn w:val="Normal"/>
    <w:uiPriority w:val="34"/>
    <w:qFormat/>
    <w:rsid w:val="00EB1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D:\UCI_BootCamp\HomeWork\StarterBook_MarkLevin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CI_BootCamp\HomeWork\StarterBook_MarkLevin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D:\UCI_BootCamp\HomeWork\StarterBook_MarkLevine.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D:\UCI_BootCamp\HomeWork\StarterBook_MarkLevine.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1" Type="http://schemas.openxmlformats.org/officeDocument/2006/relationships/oleObject" Target="file:///D:\UCI_BootCamp\HomeWork\StarterBook_MarkLevine.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D:\UCI_BootCamp\HomeWork\KickStarterBook_MarkLevine.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[StarterBook_MarkLevine.xlsx]Summary_1!CatexStatexCountry</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1"/>
              <a:t>Campaign</a:t>
            </a:r>
            <a:r>
              <a:rPr lang="en-US" sz="1100" b="1" baseline="0"/>
              <a:t> Success by Category, Country</a:t>
            </a:r>
          </a:p>
          <a:p>
            <a:pPr>
              <a:defRPr/>
            </a:pPr>
            <a:r>
              <a:rPr lang="en-US" sz="1100" b="1" baseline="0"/>
              <a:t>Volume (units)</a:t>
            </a:r>
            <a:endParaRPr lang="en-US" sz="1100"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7.070327747493102E-2"/>
          <c:y val="0.17840796019900498"/>
          <c:w val="0.78013712228279153"/>
          <c:h val="0.55619030830101457"/>
        </c:manualLayout>
      </c:layout>
      <c:barChart>
        <c:barDir val="col"/>
        <c:grouping val="stacked"/>
        <c:varyColors val="0"/>
        <c:ser>
          <c:idx val="0"/>
          <c:order val="0"/>
          <c:tx>
            <c:strRef>
              <c:f>Summary_1!$B$3:$B$4</c:f>
              <c:strCache>
                <c:ptCount val="1"/>
                <c:pt idx="0">
                  <c:v>canceled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Summary_1!$A$5:$A$14</c:f>
              <c:strCache>
                <c:ptCount val="9"/>
                <c:pt idx="0">
                  <c:v>theater</c:v>
                </c:pt>
                <c:pt idx="1">
                  <c:v>music</c:v>
                </c:pt>
                <c:pt idx="2">
                  <c:v>technology</c:v>
                </c:pt>
                <c:pt idx="3">
                  <c:v>film &amp; video</c:v>
                </c:pt>
                <c:pt idx="4">
                  <c:v>publishing</c:v>
                </c:pt>
                <c:pt idx="5">
                  <c:v>games</c:v>
                </c:pt>
                <c:pt idx="6">
                  <c:v>photography</c:v>
                </c:pt>
                <c:pt idx="7">
                  <c:v>food</c:v>
                </c:pt>
                <c:pt idx="8">
                  <c:v>journalism</c:v>
                </c:pt>
              </c:strCache>
            </c:strRef>
          </c:cat>
          <c:val>
            <c:numRef>
              <c:f>Summary_1!$B$5:$B$14</c:f>
              <c:numCache>
                <c:formatCode>General</c:formatCode>
                <c:ptCount val="9"/>
                <c:pt idx="0">
                  <c:v>37</c:v>
                </c:pt>
                <c:pt idx="1">
                  <c:v>20</c:v>
                </c:pt>
                <c:pt idx="2">
                  <c:v>178</c:v>
                </c:pt>
                <c:pt idx="3">
                  <c:v>40</c:v>
                </c:pt>
                <c:pt idx="4">
                  <c:v>30</c:v>
                </c:pt>
                <c:pt idx="7">
                  <c:v>20</c:v>
                </c:pt>
                <c:pt idx="8">
                  <c:v>24</c:v>
                </c:pt>
              </c:numCache>
            </c:numRef>
          </c:val>
          <c:extLst>
            <c:ext xmlns:c16="http://schemas.microsoft.com/office/drawing/2014/chart" uri="{C3380CC4-5D6E-409C-BE32-E72D297353CC}">
              <c16:uniqueId val="{00000000-C09F-4167-AC9E-CAEFFFF826A6}"/>
            </c:ext>
          </c:extLst>
        </c:ser>
        <c:ser>
          <c:idx val="1"/>
          <c:order val="1"/>
          <c:tx>
            <c:strRef>
              <c:f>Summary_1!$C$3:$C$4</c:f>
              <c:strCache>
                <c:ptCount val="1"/>
                <c:pt idx="0">
                  <c:v>failed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Summary_1!$A$5:$A$14</c:f>
              <c:strCache>
                <c:ptCount val="9"/>
                <c:pt idx="0">
                  <c:v>theater</c:v>
                </c:pt>
                <c:pt idx="1">
                  <c:v>music</c:v>
                </c:pt>
                <c:pt idx="2">
                  <c:v>technology</c:v>
                </c:pt>
                <c:pt idx="3">
                  <c:v>film &amp; video</c:v>
                </c:pt>
                <c:pt idx="4">
                  <c:v>publishing</c:v>
                </c:pt>
                <c:pt idx="5">
                  <c:v>games</c:v>
                </c:pt>
                <c:pt idx="6">
                  <c:v>photography</c:v>
                </c:pt>
                <c:pt idx="7">
                  <c:v>food</c:v>
                </c:pt>
                <c:pt idx="8">
                  <c:v>journalism</c:v>
                </c:pt>
              </c:strCache>
            </c:strRef>
          </c:cat>
          <c:val>
            <c:numRef>
              <c:f>Summary_1!$C$5:$C$14</c:f>
              <c:numCache>
                <c:formatCode>General</c:formatCode>
                <c:ptCount val="9"/>
                <c:pt idx="0">
                  <c:v>493</c:v>
                </c:pt>
                <c:pt idx="1">
                  <c:v>120</c:v>
                </c:pt>
                <c:pt idx="2">
                  <c:v>213</c:v>
                </c:pt>
                <c:pt idx="3">
                  <c:v>180</c:v>
                </c:pt>
                <c:pt idx="4">
                  <c:v>127</c:v>
                </c:pt>
                <c:pt idx="5">
                  <c:v>140</c:v>
                </c:pt>
                <c:pt idx="6">
                  <c:v>117</c:v>
                </c:pt>
                <c:pt idx="7">
                  <c:v>140</c:v>
                </c:pt>
              </c:numCache>
            </c:numRef>
          </c:val>
          <c:extLst>
            <c:ext xmlns:c16="http://schemas.microsoft.com/office/drawing/2014/chart" uri="{C3380CC4-5D6E-409C-BE32-E72D297353CC}">
              <c16:uniqueId val="{00000001-C09F-4167-AC9E-CAEFFFF826A6}"/>
            </c:ext>
          </c:extLst>
        </c:ser>
        <c:ser>
          <c:idx val="2"/>
          <c:order val="2"/>
          <c:tx>
            <c:strRef>
              <c:f>Summary_1!$D$3:$D$4</c:f>
              <c:strCache>
                <c:ptCount val="1"/>
                <c:pt idx="0">
                  <c:v>live</c:v>
                </c:pt>
              </c:strCache>
            </c:strRef>
          </c:tx>
          <c:spPr>
            <a:solidFill>
              <a:schemeClr val="accent3"/>
            </a:solidFill>
            <a:ln>
              <a:noFill/>
            </a:ln>
            <a:effectLst/>
          </c:spPr>
          <c:invertIfNegative val="0"/>
          <c:cat>
            <c:strRef>
              <c:f>Summary_1!$A$5:$A$14</c:f>
              <c:strCache>
                <c:ptCount val="9"/>
                <c:pt idx="0">
                  <c:v>theater</c:v>
                </c:pt>
                <c:pt idx="1">
                  <c:v>music</c:v>
                </c:pt>
                <c:pt idx="2">
                  <c:v>technology</c:v>
                </c:pt>
                <c:pt idx="3">
                  <c:v>film &amp; video</c:v>
                </c:pt>
                <c:pt idx="4">
                  <c:v>publishing</c:v>
                </c:pt>
                <c:pt idx="5">
                  <c:v>games</c:v>
                </c:pt>
                <c:pt idx="6">
                  <c:v>photography</c:v>
                </c:pt>
                <c:pt idx="7">
                  <c:v>food</c:v>
                </c:pt>
                <c:pt idx="8">
                  <c:v>journalism</c:v>
                </c:pt>
              </c:strCache>
            </c:strRef>
          </c:cat>
          <c:val>
            <c:numRef>
              <c:f>Summary_1!$D$5:$D$14</c:f>
              <c:numCache>
                <c:formatCode>General</c:formatCode>
                <c:ptCount val="9"/>
                <c:pt idx="0">
                  <c:v>24</c:v>
                </c:pt>
                <c:pt idx="1">
                  <c:v>20</c:v>
                </c:pt>
                <c:pt idx="7">
                  <c:v>6</c:v>
                </c:pt>
              </c:numCache>
            </c:numRef>
          </c:val>
          <c:extLst>
            <c:ext xmlns:c16="http://schemas.microsoft.com/office/drawing/2014/chart" uri="{C3380CC4-5D6E-409C-BE32-E72D297353CC}">
              <c16:uniqueId val="{00000002-C09F-4167-AC9E-CAEFFFF826A6}"/>
            </c:ext>
          </c:extLst>
        </c:ser>
        <c:ser>
          <c:idx val="3"/>
          <c:order val="3"/>
          <c:tx>
            <c:strRef>
              <c:f>Summary_1!$E$3:$E$4</c:f>
              <c:strCache>
                <c:ptCount val="1"/>
                <c:pt idx="0">
                  <c:v>successful</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Summary_1!$A$5:$A$14</c:f>
              <c:strCache>
                <c:ptCount val="9"/>
                <c:pt idx="0">
                  <c:v>theater</c:v>
                </c:pt>
                <c:pt idx="1">
                  <c:v>music</c:v>
                </c:pt>
                <c:pt idx="2">
                  <c:v>technology</c:v>
                </c:pt>
                <c:pt idx="3">
                  <c:v>film &amp; video</c:v>
                </c:pt>
                <c:pt idx="4">
                  <c:v>publishing</c:v>
                </c:pt>
                <c:pt idx="5">
                  <c:v>games</c:v>
                </c:pt>
                <c:pt idx="6">
                  <c:v>photography</c:v>
                </c:pt>
                <c:pt idx="7">
                  <c:v>food</c:v>
                </c:pt>
                <c:pt idx="8">
                  <c:v>journalism</c:v>
                </c:pt>
              </c:strCache>
            </c:strRef>
          </c:cat>
          <c:val>
            <c:numRef>
              <c:f>Summary_1!$E$5:$E$14</c:f>
              <c:numCache>
                <c:formatCode>General</c:formatCode>
                <c:ptCount val="9"/>
                <c:pt idx="0">
                  <c:v>839</c:v>
                </c:pt>
                <c:pt idx="1">
                  <c:v>540</c:v>
                </c:pt>
                <c:pt idx="2">
                  <c:v>209</c:v>
                </c:pt>
                <c:pt idx="3">
                  <c:v>300</c:v>
                </c:pt>
                <c:pt idx="4">
                  <c:v>80</c:v>
                </c:pt>
                <c:pt idx="5">
                  <c:v>80</c:v>
                </c:pt>
                <c:pt idx="6">
                  <c:v>103</c:v>
                </c:pt>
                <c:pt idx="7">
                  <c:v>34</c:v>
                </c:pt>
              </c:numCache>
            </c:numRef>
          </c:val>
          <c:extLst>
            <c:ext xmlns:c16="http://schemas.microsoft.com/office/drawing/2014/chart" uri="{C3380CC4-5D6E-409C-BE32-E72D297353CC}">
              <c16:uniqueId val="{00000003-C09F-4167-AC9E-CAEFFFF826A6}"/>
            </c:ext>
          </c:extLst>
        </c:ser>
        <c:dLbls>
          <c:showLegendKey val="0"/>
          <c:showVal val="0"/>
          <c:showCatName val="0"/>
          <c:showSerName val="0"/>
          <c:showPercent val="0"/>
          <c:showBubbleSize val="0"/>
        </c:dLbls>
        <c:gapWidth val="150"/>
        <c:overlap val="100"/>
        <c:axId val="519422832"/>
        <c:axId val="519419880"/>
      </c:barChart>
      <c:catAx>
        <c:axId val="519422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419880"/>
        <c:crosses val="autoZero"/>
        <c:auto val="1"/>
        <c:lblAlgn val="ctr"/>
        <c:lblOffset val="100"/>
        <c:noMultiLvlLbl val="0"/>
      </c:catAx>
      <c:valAx>
        <c:axId val="519419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4228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[StarterBook_MarkLevine.xlsx]Summary_1!CatexStatexCountryPercent</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1" i="0" baseline="0">
                <a:effectLst/>
              </a:rPr>
              <a:t>Campaign Success by Category, Country</a:t>
            </a:r>
            <a:endParaRPr lang="en-US" sz="1100" b="1">
              <a:effectLst/>
            </a:endParaRPr>
          </a:p>
          <a:p>
            <a:pPr>
              <a:defRPr/>
            </a:pPr>
            <a:r>
              <a:rPr lang="en-US" sz="1100" b="1" i="0" baseline="0">
                <a:effectLst/>
              </a:rPr>
              <a:t>Percentage of Total (Mix%)</a:t>
            </a:r>
          </a:p>
          <a:p>
            <a:pPr>
              <a:defRPr/>
            </a:pPr>
            <a:r>
              <a:rPr lang="en-US" sz="1100" b="1" i="0" baseline="0">
                <a:effectLst/>
              </a:rPr>
              <a:t>Sorted high to low (left to right) by Successful Counts</a:t>
            </a:r>
            <a:endParaRPr lang="en-US" sz="1100" b="1">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Summary_1!$B$25:$B$26</c:f>
              <c:strCache>
                <c:ptCount val="1"/>
                <c:pt idx="0">
                  <c:v>canceled</c:v>
                </c:pt>
              </c:strCache>
            </c:strRef>
          </c:tx>
          <c:spPr>
            <a:solidFill>
              <a:schemeClr val="accent1"/>
            </a:solidFill>
            <a:ln>
              <a:noFill/>
            </a:ln>
            <a:effectLst/>
          </c:spPr>
          <c:invertIfNegative val="0"/>
          <c:cat>
            <c:strRef>
              <c:f>Summary_1!$A$27:$A$36</c:f>
              <c:strCache>
                <c:ptCount val="9"/>
                <c:pt idx="0">
                  <c:v>theater</c:v>
                </c:pt>
                <c:pt idx="1">
                  <c:v>music</c:v>
                </c:pt>
                <c:pt idx="2">
                  <c:v>film &amp; video</c:v>
                </c:pt>
                <c:pt idx="3">
                  <c:v>technology</c:v>
                </c:pt>
                <c:pt idx="4">
                  <c:v>photography</c:v>
                </c:pt>
                <c:pt idx="5">
                  <c:v>games</c:v>
                </c:pt>
                <c:pt idx="6">
                  <c:v>publishing</c:v>
                </c:pt>
                <c:pt idx="7">
                  <c:v>food</c:v>
                </c:pt>
                <c:pt idx="8">
                  <c:v>journalism</c:v>
                </c:pt>
              </c:strCache>
            </c:strRef>
          </c:cat>
          <c:val>
            <c:numRef>
              <c:f>Summary_1!$B$27:$B$36</c:f>
              <c:numCache>
                <c:formatCode>0.00%</c:formatCode>
                <c:ptCount val="9"/>
                <c:pt idx="0">
                  <c:v>2.6561378320172292E-2</c:v>
                </c:pt>
                <c:pt idx="1">
                  <c:v>2.8571428571428571E-2</c:v>
                </c:pt>
                <c:pt idx="2">
                  <c:v>7.6923076923076927E-2</c:v>
                </c:pt>
                <c:pt idx="3">
                  <c:v>0.29666666666666669</c:v>
                </c:pt>
                <c:pt idx="4">
                  <c:v>0</c:v>
                </c:pt>
                <c:pt idx="5">
                  <c:v>0</c:v>
                </c:pt>
                <c:pt idx="6">
                  <c:v>0.12658227848101267</c:v>
                </c:pt>
                <c:pt idx="7">
                  <c:v>0.1</c:v>
                </c:pt>
                <c:pt idx="8">
                  <c:v>1</c:v>
                </c:pt>
              </c:numCache>
            </c:numRef>
          </c:val>
          <c:extLst>
            <c:ext xmlns:c16="http://schemas.microsoft.com/office/drawing/2014/chart" uri="{C3380CC4-5D6E-409C-BE32-E72D297353CC}">
              <c16:uniqueId val="{00000000-BD68-4813-929F-97BAC476A448}"/>
            </c:ext>
          </c:extLst>
        </c:ser>
        <c:ser>
          <c:idx val="1"/>
          <c:order val="1"/>
          <c:tx>
            <c:strRef>
              <c:f>Summary_1!$C$25:$C$26</c:f>
              <c:strCache>
                <c:ptCount val="1"/>
                <c:pt idx="0">
                  <c:v>failed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Summary_1!$A$27:$A$36</c:f>
              <c:strCache>
                <c:ptCount val="9"/>
                <c:pt idx="0">
                  <c:v>theater</c:v>
                </c:pt>
                <c:pt idx="1">
                  <c:v>music</c:v>
                </c:pt>
                <c:pt idx="2">
                  <c:v>film &amp; video</c:v>
                </c:pt>
                <c:pt idx="3">
                  <c:v>technology</c:v>
                </c:pt>
                <c:pt idx="4">
                  <c:v>photography</c:v>
                </c:pt>
                <c:pt idx="5">
                  <c:v>games</c:v>
                </c:pt>
                <c:pt idx="6">
                  <c:v>publishing</c:v>
                </c:pt>
                <c:pt idx="7">
                  <c:v>food</c:v>
                </c:pt>
                <c:pt idx="8">
                  <c:v>journalism</c:v>
                </c:pt>
              </c:strCache>
            </c:strRef>
          </c:cat>
          <c:val>
            <c:numRef>
              <c:f>Summary_1!$C$27:$C$36</c:f>
              <c:numCache>
                <c:formatCode>0.00%</c:formatCode>
                <c:ptCount val="9"/>
                <c:pt idx="0">
                  <c:v>0.35391241923905242</c:v>
                </c:pt>
                <c:pt idx="1">
                  <c:v>0.17142857142857143</c:v>
                </c:pt>
                <c:pt idx="2">
                  <c:v>0.34615384615384615</c:v>
                </c:pt>
                <c:pt idx="3">
                  <c:v>0.35499999999999998</c:v>
                </c:pt>
                <c:pt idx="4">
                  <c:v>0.53181818181818186</c:v>
                </c:pt>
                <c:pt idx="5">
                  <c:v>0.63636363636363635</c:v>
                </c:pt>
                <c:pt idx="6">
                  <c:v>0.53586497890295359</c:v>
                </c:pt>
                <c:pt idx="7">
                  <c:v>0.7</c:v>
                </c:pt>
                <c:pt idx="8">
                  <c:v>0</c:v>
                </c:pt>
              </c:numCache>
            </c:numRef>
          </c:val>
          <c:extLst>
            <c:ext xmlns:c16="http://schemas.microsoft.com/office/drawing/2014/chart" uri="{C3380CC4-5D6E-409C-BE32-E72D297353CC}">
              <c16:uniqueId val="{00000001-BD68-4813-929F-97BAC476A448}"/>
            </c:ext>
          </c:extLst>
        </c:ser>
        <c:ser>
          <c:idx val="2"/>
          <c:order val="2"/>
          <c:tx>
            <c:strRef>
              <c:f>Summary_1!$D$25:$D$26</c:f>
              <c:strCache>
                <c:ptCount val="1"/>
                <c:pt idx="0">
                  <c:v>live</c:v>
                </c:pt>
              </c:strCache>
            </c:strRef>
          </c:tx>
          <c:spPr>
            <a:solidFill>
              <a:schemeClr val="accent3"/>
            </a:solidFill>
            <a:ln>
              <a:noFill/>
            </a:ln>
            <a:effectLst/>
          </c:spPr>
          <c:invertIfNegative val="0"/>
          <c:cat>
            <c:strRef>
              <c:f>Summary_1!$A$27:$A$36</c:f>
              <c:strCache>
                <c:ptCount val="9"/>
                <c:pt idx="0">
                  <c:v>theater</c:v>
                </c:pt>
                <c:pt idx="1">
                  <c:v>music</c:v>
                </c:pt>
                <c:pt idx="2">
                  <c:v>film &amp; video</c:v>
                </c:pt>
                <c:pt idx="3">
                  <c:v>technology</c:v>
                </c:pt>
                <c:pt idx="4">
                  <c:v>photography</c:v>
                </c:pt>
                <c:pt idx="5">
                  <c:v>games</c:v>
                </c:pt>
                <c:pt idx="6">
                  <c:v>publishing</c:v>
                </c:pt>
                <c:pt idx="7">
                  <c:v>food</c:v>
                </c:pt>
                <c:pt idx="8">
                  <c:v>journalism</c:v>
                </c:pt>
              </c:strCache>
            </c:strRef>
          </c:cat>
          <c:val>
            <c:numRef>
              <c:f>Summary_1!$D$27:$D$36</c:f>
              <c:numCache>
                <c:formatCode>0.00%</c:formatCode>
                <c:ptCount val="9"/>
                <c:pt idx="0">
                  <c:v>1.7229002153625269E-2</c:v>
                </c:pt>
                <c:pt idx="1">
                  <c:v>2.8571428571428571E-2</c:v>
                </c:pt>
                <c:pt idx="2">
                  <c:v>0</c:v>
                </c:pt>
                <c:pt idx="3">
                  <c:v>0</c:v>
                </c:pt>
                <c:pt idx="4">
                  <c:v>0</c:v>
                </c:pt>
                <c:pt idx="5">
                  <c:v>0</c:v>
                </c:pt>
                <c:pt idx="6">
                  <c:v>0</c:v>
                </c:pt>
                <c:pt idx="7">
                  <c:v>0.03</c:v>
                </c:pt>
                <c:pt idx="8">
                  <c:v>0</c:v>
                </c:pt>
              </c:numCache>
            </c:numRef>
          </c:val>
          <c:extLst>
            <c:ext xmlns:c16="http://schemas.microsoft.com/office/drawing/2014/chart" uri="{C3380CC4-5D6E-409C-BE32-E72D297353CC}">
              <c16:uniqueId val="{00000002-BD68-4813-929F-97BAC476A448}"/>
            </c:ext>
          </c:extLst>
        </c:ser>
        <c:ser>
          <c:idx val="3"/>
          <c:order val="3"/>
          <c:tx>
            <c:strRef>
              <c:f>Summary_1!$E$25:$E$26</c:f>
              <c:strCache>
                <c:ptCount val="1"/>
                <c:pt idx="0">
                  <c:v>successful</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Summary_1!$A$27:$A$36</c:f>
              <c:strCache>
                <c:ptCount val="9"/>
                <c:pt idx="0">
                  <c:v>theater</c:v>
                </c:pt>
                <c:pt idx="1">
                  <c:v>music</c:v>
                </c:pt>
                <c:pt idx="2">
                  <c:v>film &amp; video</c:v>
                </c:pt>
                <c:pt idx="3">
                  <c:v>technology</c:v>
                </c:pt>
                <c:pt idx="4">
                  <c:v>photography</c:v>
                </c:pt>
                <c:pt idx="5">
                  <c:v>games</c:v>
                </c:pt>
                <c:pt idx="6">
                  <c:v>publishing</c:v>
                </c:pt>
                <c:pt idx="7">
                  <c:v>food</c:v>
                </c:pt>
                <c:pt idx="8">
                  <c:v>journalism</c:v>
                </c:pt>
              </c:strCache>
            </c:strRef>
          </c:cat>
          <c:val>
            <c:numRef>
              <c:f>Summary_1!$E$27:$E$36</c:f>
              <c:numCache>
                <c:formatCode>0.00%</c:formatCode>
                <c:ptCount val="9"/>
                <c:pt idx="0">
                  <c:v>0.60229720028715006</c:v>
                </c:pt>
                <c:pt idx="1">
                  <c:v>0.77142857142857146</c:v>
                </c:pt>
                <c:pt idx="2">
                  <c:v>0.57692307692307687</c:v>
                </c:pt>
                <c:pt idx="3">
                  <c:v>0.34833333333333333</c:v>
                </c:pt>
                <c:pt idx="4">
                  <c:v>0.4681818181818182</c:v>
                </c:pt>
                <c:pt idx="5">
                  <c:v>0.36363636363636365</c:v>
                </c:pt>
                <c:pt idx="6">
                  <c:v>0.33755274261603374</c:v>
                </c:pt>
                <c:pt idx="7">
                  <c:v>0.17</c:v>
                </c:pt>
                <c:pt idx="8">
                  <c:v>0</c:v>
                </c:pt>
              </c:numCache>
            </c:numRef>
          </c:val>
          <c:extLst>
            <c:ext xmlns:c16="http://schemas.microsoft.com/office/drawing/2014/chart" uri="{C3380CC4-5D6E-409C-BE32-E72D297353CC}">
              <c16:uniqueId val="{00000003-BD68-4813-929F-97BAC476A448}"/>
            </c:ext>
          </c:extLst>
        </c:ser>
        <c:dLbls>
          <c:showLegendKey val="0"/>
          <c:showVal val="0"/>
          <c:showCatName val="0"/>
          <c:showSerName val="0"/>
          <c:showPercent val="0"/>
          <c:showBubbleSize val="0"/>
        </c:dLbls>
        <c:gapWidth val="150"/>
        <c:overlap val="100"/>
        <c:axId val="1149886856"/>
        <c:axId val="1149887184"/>
      </c:barChart>
      <c:catAx>
        <c:axId val="1149886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9887184"/>
        <c:crosses val="autoZero"/>
        <c:auto val="1"/>
        <c:lblAlgn val="ctr"/>
        <c:lblOffset val="100"/>
        <c:noMultiLvlLbl val="0"/>
      </c:catAx>
      <c:valAx>
        <c:axId val="114988718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98868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Distributio</a:t>
            </a:r>
            <a:r>
              <a:rPr lang="en-US" baseline="0"/>
              <a:t>n of Average Project Investment per Backer</a:t>
            </a:r>
            <a:endParaRPr lang="en-US"/>
          </a:p>
        </c:rich>
      </c:tx>
      <c:overlay val="0"/>
    </c:title>
    <c:autoTitleDeleted val="0"/>
    <c:plotArea>
      <c:layout/>
      <c:barChart>
        <c:barDir val="col"/>
        <c:grouping val="clustered"/>
        <c:varyColors val="0"/>
        <c:ser>
          <c:idx val="0"/>
          <c:order val="0"/>
          <c:invertIfNegative val="0"/>
          <c:cat>
            <c:strRef>
              <c:f>AvgInv_Histogram!$A$2:$A$66</c:f>
              <c:strCache>
                <c:ptCount val="65"/>
                <c:pt idx="0">
                  <c:v>0</c:v>
                </c:pt>
                <c:pt idx="1">
                  <c:v>51.625</c:v>
                </c:pt>
                <c:pt idx="2">
                  <c:v>103.25</c:v>
                </c:pt>
                <c:pt idx="3">
                  <c:v>154.875</c:v>
                </c:pt>
                <c:pt idx="4">
                  <c:v>206.5</c:v>
                </c:pt>
                <c:pt idx="5">
                  <c:v>258.125</c:v>
                </c:pt>
                <c:pt idx="6">
                  <c:v>309.75</c:v>
                </c:pt>
                <c:pt idx="7">
                  <c:v>361.375</c:v>
                </c:pt>
                <c:pt idx="8">
                  <c:v>413</c:v>
                </c:pt>
                <c:pt idx="9">
                  <c:v>464.625</c:v>
                </c:pt>
                <c:pt idx="10">
                  <c:v>516.25</c:v>
                </c:pt>
                <c:pt idx="11">
                  <c:v>567.875</c:v>
                </c:pt>
                <c:pt idx="12">
                  <c:v>619.5</c:v>
                </c:pt>
                <c:pt idx="13">
                  <c:v>671.125</c:v>
                </c:pt>
                <c:pt idx="14">
                  <c:v>722.75</c:v>
                </c:pt>
                <c:pt idx="15">
                  <c:v>774.375</c:v>
                </c:pt>
                <c:pt idx="16">
                  <c:v>826</c:v>
                </c:pt>
                <c:pt idx="17">
                  <c:v>877.625</c:v>
                </c:pt>
                <c:pt idx="18">
                  <c:v>929.25</c:v>
                </c:pt>
                <c:pt idx="19">
                  <c:v>980.875</c:v>
                </c:pt>
                <c:pt idx="20">
                  <c:v>1032.5</c:v>
                </c:pt>
                <c:pt idx="21">
                  <c:v>1084.125</c:v>
                </c:pt>
                <c:pt idx="22">
                  <c:v>1135.75</c:v>
                </c:pt>
                <c:pt idx="23">
                  <c:v>1187.375</c:v>
                </c:pt>
                <c:pt idx="24">
                  <c:v>1239</c:v>
                </c:pt>
                <c:pt idx="25">
                  <c:v>1290.625</c:v>
                </c:pt>
                <c:pt idx="26">
                  <c:v>1342.25</c:v>
                </c:pt>
                <c:pt idx="27">
                  <c:v>1393.875</c:v>
                </c:pt>
                <c:pt idx="28">
                  <c:v>1445.5</c:v>
                </c:pt>
                <c:pt idx="29">
                  <c:v>1497.125</c:v>
                </c:pt>
                <c:pt idx="30">
                  <c:v>1548.75</c:v>
                </c:pt>
                <c:pt idx="31">
                  <c:v>1600.375</c:v>
                </c:pt>
                <c:pt idx="32">
                  <c:v>1652</c:v>
                </c:pt>
                <c:pt idx="33">
                  <c:v>1703.625</c:v>
                </c:pt>
                <c:pt idx="34">
                  <c:v>1755.25</c:v>
                </c:pt>
                <c:pt idx="35">
                  <c:v>1806.875</c:v>
                </c:pt>
                <c:pt idx="36">
                  <c:v>1858.5</c:v>
                </c:pt>
                <c:pt idx="37">
                  <c:v>1910.125</c:v>
                </c:pt>
                <c:pt idx="38">
                  <c:v>1961.75</c:v>
                </c:pt>
                <c:pt idx="39">
                  <c:v>2013.375</c:v>
                </c:pt>
                <c:pt idx="40">
                  <c:v>2065</c:v>
                </c:pt>
                <c:pt idx="41">
                  <c:v>2116.625</c:v>
                </c:pt>
                <c:pt idx="42">
                  <c:v>2168.25</c:v>
                </c:pt>
                <c:pt idx="43">
                  <c:v>2219.875</c:v>
                </c:pt>
                <c:pt idx="44">
                  <c:v>2271.5</c:v>
                </c:pt>
                <c:pt idx="45">
                  <c:v>2323.125</c:v>
                </c:pt>
                <c:pt idx="46">
                  <c:v>2374.75</c:v>
                </c:pt>
                <c:pt idx="47">
                  <c:v>2426.375</c:v>
                </c:pt>
                <c:pt idx="48">
                  <c:v>2478</c:v>
                </c:pt>
                <c:pt idx="49">
                  <c:v>2529.625</c:v>
                </c:pt>
                <c:pt idx="50">
                  <c:v>2581.25</c:v>
                </c:pt>
                <c:pt idx="51">
                  <c:v>2632.875</c:v>
                </c:pt>
                <c:pt idx="52">
                  <c:v>2684.5</c:v>
                </c:pt>
                <c:pt idx="53">
                  <c:v>2736.125</c:v>
                </c:pt>
                <c:pt idx="54">
                  <c:v>2787.75</c:v>
                </c:pt>
                <c:pt idx="55">
                  <c:v>2839.375</c:v>
                </c:pt>
                <c:pt idx="56">
                  <c:v>2891</c:v>
                </c:pt>
                <c:pt idx="57">
                  <c:v>2942.625</c:v>
                </c:pt>
                <c:pt idx="58">
                  <c:v>2994.25</c:v>
                </c:pt>
                <c:pt idx="59">
                  <c:v>3045.875</c:v>
                </c:pt>
                <c:pt idx="60">
                  <c:v>3097.5</c:v>
                </c:pt>
                <c:pt idx="61">
                  <c:v>3149.125</c:v>
                </c:pt>
                <c:pt idx="62">
                  <c:v>3200.75</c:v>
                </c:pt>
                <c:pt idx="63">
                  <c:v>3252.375</c:v>
                </c:pt>
                <c:pt idx="64">
                  <c:v>More</c:v>
                </c:pt>
              </c:strCache>
            </c:strRef>
          </c:cat>
          <c:val>
            <c:numRef>
              <c:f>AvgInv_Histogram!$B$2:$B$66</c:f>
              <c:numCache>
                <c:formatCode>General</c:formatCode>
                <c:ptCount val="65"/>
                <c:pt idx="0">
                  <c:v>410</c:v>
                </c:pt>
                <c:pt idx="1">
                  <c:v>1637</c:v>
                </c:pt>
                <c:pt idx="2">
                  <c:v>1240</c:v>
                </c:pt>
                <c:pt idx="3">
                  <c:v>409</c:v>
                </c:pt>
                <c:pt idx="4">
                  <c:v>182</c:v>
                </c:pt>
                <c:pt idx="5">
                  <c:v>68</c:v>
                </c:pt>
                <c:pt idx="6">
                  <c:v>44</c:v>
                </c:pt>
                <c:pt idx="7">
                  <c:v>24</c:v>
                </c:pt>
                <c:pt idx="8">
                  <c:v>21</c:v>
                </c:pt>
                <c:pt idx="9">
                  <c:v>18</c:v>
                </c:pt>
                <c:pt idx="10">
                  <c:v>12</c:v>
                </c:pt>
                <c:pt idx="11">
                  <c:v>8</c:v>
                </c:pt>
                <c:pt idx="12">
                  <c:v>7</c:v>
                </c:pt>
                <c:pt idx="13">
                  <c:v>1</c:v>
                </c:pt>
                <c:pt idx="14">
                  <c:v>4</c:v>
                </c:pt>
                <c:pt idx="15">
                  <c:v>2</c:v>
                </c:pt>
                <c:pt idx="16">
                  <c:v>5</c:v>
                </c:pt>
                <c:pt idx="17">
                  <c:v>5</c:v>
                </c:pt>
                <c:pt idx="18">
                  <c:v>1</c:v>
                </c:pt>
                <c:pt idx="19">
                  <c:v>1</c:v>
                </c:pt>
                <c:pt idx="20">
                  <c:v>2</c:v>
                </c:pt>
                <c:pt idx="21">
                  <c:v>0</c:v>
                </c:pt>
                <c:pt idx="22">
                  <c:v>0</c:v>
                </c:pt>
                <c:pt idx="23">
                  <c:v>0</c:v>
                </c:pt>
                <c:pt idx="24">
                  <c:v>0</c:v>
                </c:pt>
                <c:pt idx="25">
                  <c:v>3</c:v>
                </c:pt>
                <c:pt idx="26">
                  <c:v>2</c:v>
                </c:pt>
                <c:pt idx="27">
                  <c:v>1</c:v>
                </c:pt>
                <c:pt idx="28">
                  <c:v>0</c:v>
                </c:pt>
                <c:pt idx="29">
                  <c:v>0</c:v>
                </c:pt>
                <c:pt idx="30">
                  <c:v>1</c:v>
                </c:pt>
                <c:pt idx="31">
                  <c:v>0</c:v>
                </c:pt>
                <c:pt idx="32">
                  <c:v>1</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1</c:v>
                </c:pt>
                <c:pt idx="50">
                  <c:v>0</c:v>
                </c:pt>
                <c:pt idx="51">
                  <c:v>0</c:v>
                </c:pt>
                <c:pt idx="52">
                  <c:v>0</c:v>
                </c:pt>
                <c:pt idx="53">
                  <c:v>0</c:v>
                </c:pt>
                <c:pt idx="54">
                  <c:v>0</c:v>
                </c:pt>
                <c:pt idx="55">
                  <c:v>1</c:v>
                </c:pt>
                <c:pt idx="56">
                  <c:v>0</c:v>
                </c:pt>
                <c:pt idx="57">
                  <c:v>1</c:v>
                </c:pt>
                <c:pt idx="58">
                  <c:v>0</c:v>
                </c:pt>
                <c:pt idx="59">
                  <c:v>1</c:v>
                </c:pt>
                <c:pt idx="60">
                  <c:v>0</c:v>
                </c:pt>
                <c:pt idx="61">
                  <c:v>0</c:v>
                </c:pt>
                <c:pt idx="62">
                  <c:v>0</c:v>
                </c:pt>
                <c:pt idx="63">
                  <c:v>0</c:v>
                </c:pt>
                <c:pt idx="64">
                  <c:v>1</c:v>
                </c:pt>
              </c:numCache>
            </c:numRef>
          </c:val>
          <c:extLst>
            <c:ext xmlns:c16="http://schemas.microsoft.com/office/drawing/2014/chart" uri="{C3380CC4-5D6E-409C-BE32-E72D297353CC}">
              <c16:uniqueId val="{00000000-8480-4222-877E-D0E8DD432C5A}"/>
            </c:ext>
          </c:extLst>
        </c:ser>
        <c:dLbls>
          <c:showLegendKey val="0"/>
          <c:showVal val="0"/>
          <c:showCatName val="0"/>
          <c:showSerName val="0"/>
          <c:showPercent val="0"/>
          <c:showBubbleSize val="0"/>
        </c:dLbls>
        <c:gapWidth val="150"/>
        <c:axId val="1018463096"/>
        <c:axId val="1018457848"/>
      </c:barChart>
      <c:lineChart>
        <c:grouping val="standard"/>
        <c:varyColors val="0"/>
        <c:ser>
          <c:idx val="1"/>
          <c:order val="1"/>
          <c:cat>
            <c:strRef>
              <c:f>AvgInv_Histogram!$A$2:$A$66</c:f>
              <c:strCache>
                <c:ptCount val="65"/>
                <c:pt idx="0">
                  <c:v>0</c:v>
                </c:pt>
                <c:pt idx="1">
                  <c:v>51.625</c:v>
                </c:pt>
                <c:pt idx="2">
                  <c:v>103.25</c:v>
                </c:pt>
                <c:pt idx="3">
                  <c:v>154.875</c:v>
                </c:pt>
                <c:pt idx="4">
                  <c:v>206.5</c:v>
                </c:pt>
                <c:pt idx="5">
                  <c:v>258.125</c:v>
                </c:pt>
                <c:pt idx="6">
                  <c:v>309.75</c:v>
                </c:pt>
                <c:pt idx="7">
                  <c:v>361.375</c:v>
                </c:pt>
                <c:pt idx="8">
                  <c:v>413</c:v>
                </c:pt>
                <c:pt idx="9">
                  <c:v>464.625</c:v>
                </c:pt>
                <c:pt idx="10">
                  <c:v>516.25</c:v>
                </c:pt>
                <c:pt idx="11">
                  <c:v>567.875</c:v>
                </c:pt>
                <c:pt idx="12">
                  <c:v>619.5</c:v>
                </c:pt>
                <c:pt idx="13">
                  <c:v>671.125</c:v>
                </c:pt>
                <c:pt idx="14">
                  <c:v>722.75</c:v>
                </c:pt>
                <c:pt idx="15">
                  <c:v>774.375</c:v>
                </c:pt>
                <c:pt idx="16">
                  <c:v>826</c:v>
                </c:pt>
                <c:pt idx="17">
                  <c:v>877.625</c:v>
                </c:pt>
                <c:pt idx="18">
                  <c:v>929.25</c:v>
                </c:pt>
                <c:pt idx="19">
                  <c:v>980.875</c:v>
                </c:pt>
                <c:pt idx="20">
                  <c:v>1032.5</c:v>
                </c:pt>
                <c:pt idx="21">
                  <c:v>1084.125</c:v>
                </c:pt>
                <c:pt idx="22">
                  <c:v>1135.75</c:v>
                </c:pt>
                <c:pt idx="23">
                  <c:v>1187.375</c:v>
                </c:pt>
                <c:pt idx="24">
                  <c:v>1239</c:v>
                </c:pt>
                <c:pt idx="25">
                  <c:v>1290.625</c:v>
                </c:pt>
                <c:pt idx="26">
                  <c:v>1342.25</c:v>
                </c:pt>
                <c:pt idx="27">
                  <c:v>1393.875</c:v>
                </c:pt>
                <c:pt idx="28">
                  <c:v>1445.5</c:v>
                </c:pt>
                <c:pt idx="29">
                  <c:v>1497.125</c:v>
                </c:pt>
                <c:pt idx="30">
                  <c:v>1548.75</c:v>
                </c:pt>
                <c:pt idx="31">
                  <c:v>1600.375</c:v>
                </c:pt>
                <c:pt idx="32">
                  <c:v>1652</c:v>
                </c:pt>
                <c:pt idx="33">
                  <c:v>1703.625</c:v>
                </c:pt>
                <c:pt idx="34">
                  <c:v>1755.25</c:v>
                </c:pt>
                <c:pt idx="35">
                  <c:v>1806.875</c:v>
                </c:pt>
                <c:pt idx="36">
                  <c:v>1858.5</c:v>
                </c:pt>
                <c:pt idx="37">
                  <c:v>1910.125</c:v>
                </c:pt>
                <c:pt idx="38">
                  <c:v>1961.75</c:v>
                </c:pt>
                <c:pt idx="39">
                  <c:v>2013.375</c:v>
                </c:pt>
                <c:pt idx="40">
                  <c:v>2065</c:v>
                </c:pt>
                <c:pt idx="41">
                  <c:v>2116.625</c:v>
                </c:pt>
                <c:pt idx="42">
                  <c:v>2168.25</c:v>
                </c:pt>
                <c:pt idx="43">
                  <c:v>2219.875</c:v>
                </c:pt>
                <c:pt idx="44">
                  <c:v>2271.5</c:v>
                </c:pt>
                <c:pt idx="45">
                  <c:v>2323.125</c:v>
                </c:pt>
                <c:pt idx="46">
                  <c:v>2374.75</c:v>
                </c:pt>
                <c:pt idx="47">
                  <c:v>2426.375</c:v>
                </c:pt>
                <c:pt idx="48">
                  <c:v>2478</c:v>
                </c:pt>
                <c:pt idx="49">
                  <c:v>2529.625</c:v>
                </c:pt>
                <c:pt idx="50">
                  <c:v>2581.25</c:v>
                </c:pt>
                <c:pt idx="51">
                  <c:v>2632.875</c:v>
                </c:pt>
                <c:pt idx="52">
                  <c:v>2684.5</c:v>
                </c:pt>
                <c:pt idx="53">
                  <c:v>2736.125</c:v>
                </c:pt>
                <c:pt idx="54">
                  <c:v>2787.75</c:v>
                </c:pt>
                <c:pt idx="55">
                  <c:v>2839.375</c:v>
                </c:pt>
                <c:pt idx="56">
                  <c:v>2891</c:v>
                </c:pt>
                <c:pt idx="57">
                  <c:v>2942.625</c:v>
                </c:pt>
                <c:pt idx="58">
                  <c:v>2994.25</c:v>
                </c:pt>
                <c:pt idx="59">
                  <c:v>3045.875</c:v>
                </c:pt>
                <c:pt idx="60">
                  <c:v>3097.5</c:v>
                </c:pt>
                <c:pt idx="61">
                  <c:v>3149.125</c:v>
                </c:pt>
                <c:pt idx="62">
                  <c:v>3200.75</c:v>
                </c:pt>
                <c:pt idx="63">
                  <c:v>3252.375</c:v>
                </c:pt>
                <c:pt idx="64">
                  <c:v>More</c:v>
                </c:pt>
              </c:strCache>
            </c:strRef>
          </c:cat>
          <c:val>
            <c:numRef>
              <c:f>AvgInv_Histogram!$C$2:$C$66</c:f>
              <c:numCache>
                <c:formatCode>0.00%</c:formatCode>
                <c:ptCount val="65"/>
                <c:pt idx="0">
                  <c:v>9.9659698590179868E-2</c:v>
                </c:pt>
                <c:pt idx="1">
                  <c:v>0.49756927564414194</c:v>
                </c:pt>
                <c:pt idx="2">
                  <c:v>0.7989790957705396</c:v>
                </c:pt>
                <c:pt idx="3">
                  <c:v>0.89839572192513373</c:v>
                </c:pt>
                <c:pt idx="4">
                  <c:v>0.94263490520175008</c:v>
                </c:pt>
                <c:pt idx="5">
                  <c:v>0.95916383082158485</c:v>
                </c:pt>
                <c:pt idx="6">
                  <c:v>0.96985901798736018</c:v>
                </c:pt>
                <c:pt idx="7">
                  <c:v>0.97569275644141951</c:v>
                </c:pt>
                <c:pt idx="8">
                  <c:v>0.98079727758872148</c:v>
                </c:pt>
                <c:pt idx="9">
                  <c:v>0.98517258142926589</c:v>
                </c:pt>
                <c:pt idx="10">
                  <c:v>0.98808945065629561</c:v>
                </c:pt>
                <c:pt idx="11">
                  <c:v>0.99003403014098201</c:v>
                </c:pt>
                <c:pt idx="12">
                  <c:v>0.99173553719008267</c:v>
                </c:pt>
                <c:pt idx="13">
                  <c:v>0.99197860962566842</c:v>
                </c:pt>
                <c:pt idx="14">
                  <c:v>0.99295089936801162</c:v>
                </c:pt>
                <c:pt idx="15">
                  <c:v>0.99343704423918333</c:v>
                </c:pt>
                <c:pt idx="16">
                  <c:v>0.99465240641711228</c:v>
                </c:pt>
                <c:pt idx="17">
                  <c:v>0.99586776859504134</c:v>
                </c:pt>
                <c:pt idx="18">
                  <c:v>0.99611084103062708</c:v>
                </c:pt>
                <c:pt idx="19">
                  <c:v>0.99635391346621294</c:v>
                </c:pt>
                <c:pt idx="20">
                  <c:v>0.99684005833738454</c:v>
                </c:pt>
                <c:pt idx="21">
                  <c:v>0.99684005833738454</c:v>
                </c:pt>
                <c:pt idx="22">
                  <c:v>0.99684005833738454</c:v>
                </c:pt>
                <c:pt idx="23">
                  <c:v>0.99684005833738454</c:v>
                </c:pt>
                <c:pt idx="24">
                  <c:v>0.99684005833738454</c:v>
                </c:pt>
                <c:pt idx="25">
                  <c:v>0.997569275644142</c:v>
                </c:pt>
                <c:pt idx="26">
                  <c:v>0.9980554205153136</c:v>
                </c:pt>
                <c:pt idx="27">
                  <c:v>0.99829849295089934</c:v>
                </c:pt>
                <c:pt idx="28">
                  <c:v>0.99829849295089934</c:v>
                </c:pt>
                <c:pt idx="29">
                  <c:v>0.99829849295089934</c:v>
                </c:pt>
                <c:pt idx="30">
                  <c:v>0.9985415653864852</c:v>
                </c:pt>
                <c:pt idx="31">
                  <c:v>0.9985415653864852</c:v>
                </c:pt>
                <c:pt idx="32">
                  <c:v>0.99878463782207094</c:v>
                </c:pt>
                <c:pt idx="33">
                  <c:v>0.99878463782207094</c:v>
                </c:pt>
                <c:pt idx="34">
                  <c:v>0.99878463782207094</c:v>
                </c:pt>
                <c:pt idx="35">
                  <c:v>0.99878463782207094</c:v>
                </c:pt>
                <c:pt idx="36">
                  <c:v>0.99878463782207094</c:v>
                </c:pt>
                <c:pt idx="37">
                  <c:v>0.99878463782207094</c:v>
                </c:pt>
                <c:pt idx="38">
                  <c:v>0.99878463782207094</c:v>
                </c:pt>
                <c:pt idx="39">
                  <c:v>0.99878463782207094</c:v>
                </c:pt>
                <c:pt idx="40">
                  <c:v>0.99878463782207094</c:v>
                </c:pt>
                <c:pt idx="41">
                  <c:v>0.99878463782207094</c:v>
                </c:pt>
                <c:pt idx="42">
                  <c:v>0.99878463782207094</c:v>
                </c:pt>
                <c:pt idx="43">
                  <c:v>0.99878463782207094</c:v>
                </c:pt>
                <c:pt idx="44">
                  <c:v>0.99878463782207094</c:v>
                </c:pt>
                <c:pt idx="45">
                  <c:v>0.99878463782207094</c:v>
                </c:pt>
                <c:pt idx="46">
                  <c:v>0.99878463782207094</c:v>
                </c:pt>
                <c:pt idx="47">
                  <c:v>0.99878463782207094</c:v>
                </c:pt>
                <c:pt idx="48">
                  <c:v>0.99878463782207094</c:v>
                </c:pt>
                <c:pt idx="49">
                  <c:v>0.9990277102576568</c:v>
                </c:pt>
                <c:pt idx="50">
                  <c:v>0.9990277102576568</c:v>
                </c:pt>
                <c:pt idx="51">
                  <c:v>0.9990277102576568</c:v>
                </c:pt>
                <c:pt idx="52">
                  <c:v>0.9990277102576568</c:v>
                </c:pt>
                <c:pt idx="53">
                  <c:v>0.9990277102576568</c:v>
                </c:pt>
                <c:pt idx="54">
                  <c:v>0.9990277102576568</c:v>
                </c:pt>
                <c:pt idx="55">
                  <c:v>0.99927078269324254</c:v>
                </c:pt>
                <c:pt idx="56">
                  <c:v>0.99927078269324254</c:v>
                </c:pt>
                <c:pt idx="57">
                  <c:v>0.9995138551288284</c:v>
                </c:pt>
                <c:pt idx="58">
                  <c:v>0.9995138551288284</c:v>
                </c:pt>
                <c:pt idx="59">
                  <c:v>0.99975692756441414</c:v>
                </c:pt>
                <c:pt idx="60">
                  <c:v>0.99975692756441414</c:v>
                </c:pt>
                <c:pt idx="61">
                  <c:v>0.99975692756441414</c:v>
                </c:pt>
                <c:pt idx="62">
                  <c:v>0.99975692756441414</c:v>
                </c:pt>
                <c:pt idx="63">
                  <c:v>0.99975692756441414</c:v>
                </c:pt>
                <c:pt idx="64">
                  <c:v>1</c:v>
                </c:pt>
              </c:numCache>
            </c:numRef>
          </c:val>
          <c:smooth val="0"/>
          <c:extLst>
            <c:ext xmlns:c16="http://schemas.microsoft.com/office/drawing/2014/chart" uri="{C3380CC4-5D6E-409C-BE32-E72D297353CC}">
              <c16:uniqueId val="{00000001-8480-4222-877E-D0E8DD432C5A}"/>
            </c:ext>
          </c:extLst>
        </c:ser>
        <c:dLbls>
          <c:showLegendKey val="0"/>
          <c:showVal val="0"/>
          <c:showCatName val="0"/>
          <c:showSerName val="0"/>
          <c:showPercent val="0"/>
          <c:showBubbleSize val="0"/>
        </c:dLbls>
        <c:marker val="1"/>
        <c:smooth val="0"/>
        <c:axId val="1018469000"/>
        <c:axId val="1018464080"/>
      </c:lineChart>
      <c:catAx>
        <c:axId val="1018463096"/>
        <c:scaling>
          <c:orientation val="minMax"/>
        </c:scaling>
        <c:delete val="0"/>
        <c:axPos val="b"/>
        <c:title>
          <c:tx>
            <c:rich>
              <a:bodyPr/>
              <a:lstStyle/>
              <a:p>
                <a:pPr>
                  <a:defRPr/>
                </a:pPr>
                <a:r>
                  <a:rPr lang="en-US"/>
                  <a:t>Avg</a:t>
                </a:r>
                <a:r>
                  <a:rPr lang="en-US" baseline="0"/>
                  <a:t> Investment per Backer</a:t>
                </a:r>
                <a:endParaRPr lang="en-US"/>
              </a:p>
            </c:rich>
          </c:tx>
          <c:overlay val="0"/>
        </c:title>
        <c:numFmt formatCode="General" sourceLinked="1"/>
        <c:majorTickMark val="out"/>
        <c:minorTickMark val="none"/>
        <c:tickLblPos val="nextTo"/>
        <c:crossAx val="1018457848"/>
        <c:crosses val="autoZero"/>
        <c:auto val="1"/>
        <c:lblAlgn val="ctr"/>
        <c:lblOffset val="100"/>
        <c:noMultiLvlLbl val="0"/>
      </c:catAx>
      <c:valAx>
        <c:axId val="1018457848"/>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1018463096"/>
        <c:crosses val="autoZero"/>
        <c:crossBetween val="between"/>
      </c:valAx>
      <c:valAx>
        <c:axId val="1018464080"/>
        <c:scaling>
          <c:orientation val="minMax"/>
        </c:scaling>
        <c:delete val="0"/>
        <c:axPos val="r"/>
        <c:numFmt formatCode="0.00%" sourceLinked="1"/>
        <c:majorTickMark val="out"/>
        <c:minorTickMark val="none"/>
        <c:tickLblPos val="nextTo"/>
        <c:crossAx val="1018469000"/>
        <c:crosses val="max"/>
        <c:crossBetween val="between"/>
      </c:valAx>
      <c:catAx>
        <c:axId val="1018469000"/>
        <c:scaling>
          <c:orientation val="minMax"/>
        </c:scaling>
        <c:delete val="1"/>
        <c:axPos val="b"/>
        <c:numFmt formatCode="General" sourceLinked="1"/>
        <c:majorTickMark val="out"/>
        <c:minorTickMark val="none"/>
        <c:tickLblPos val="nextTo"/>
        <c:crossAx val="1018464080"/>
        <c:crosses val="autoZero"/>
        <c:auto val="1"/>
        <c:lblAlgn val="ctr"/>
        <c:lblOffset val="100"/>
        <c:noMultiLvlLbl val="0"/>
      </c:cat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[StarterBook_MarkLevine.xlsx]Summary_1!Country</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barChart>
        <c:barDir val="col"/>
        <c:grouping val="stacked"/>
        <c:varyColors val="0"/>
        <c:ser>
          <c:idx val="0"/>
          <c:order val="0"/>
          <c:tx>
            <c:strRef>
              <c:f>Summary_1!$B$57:$B$58</c:f>
              <c:strCache>
                <c:ptCount val="1"/>
                <c:pt idx="0">
                  <c:v>canceled</c:v>
                </c:pt>
              </c:strCache>
            </c:strRef>
          </c:tx>
          <c:spPr>
            <a:solidFill>
              <a:schemeClr val="accent1"/>
            </a:solidFill>
            <a:ln>
              <a:noFill/>
            </a:ln>
            <a:effectLst/>
          </c:spPr>
          <c:invertIfNegative val="0"/>
          <c:cat>
            <c:strRef>
              <c:f>Summary_1!$A$59:$A$80</c:f>
              <c:strCache>
                <c:ptCount val="21"/>
                <c:pt idx="0">
                  <c:v>US</c:v>
                </c:pt>
                <c:pt idx="1">
                  <c:v>GB</c:v>
                </c:pt>
                <c:pt idx="2">
                  <c:v>CA</c:v>
                </c:pt>
                <c:pt idx="3">
                  <c:v>AU</c:v>
                </c:pt>
                <c:pt idx="4">
                  <c:v>DE</c:v>
                </c:pt>
                <c:pt idx="5">
                  <c:v>IT</c:v>
                </c:pt>
                <c:pt idx="6">
                  <c:v>FR</c:v>
                </c:pt>
                <c:pt idx="7">
                  <c:v>NL</c:v>
                </c:pt>
                <c:pt idx="8">
                  <c:v>ES</c:v>
                </c:pt>
                <c:pt idx="9">
                  <c:v>SE</c:v>
                </c:pt>
                <c:pt idx="10">
                  <c:v>IE</c:v>
                </c:pt>
                <c:pt idx="11">
                  <c:v>DK</c:v>
                </c:pt>
                <c:pt idx="12">
                  <c:v>MX</c:v>
                </c:pt>
                <c:pt idx="13">
                  <c:v>NZ</c:v>
                </c:pt>
                <c:pt idx="14">
                  <c:v>NO</c:v>
                </c:pt>
                <c:pt idx="15">
                  <c:v>CH</c:v>
                </c:pt>
                <c:pt idx="16">
                  <c:v>AT</c:v>
                </c:pt>
                <c:pt idx="17">
                  <c:v>HK</c:v>
                </c:pt>
                <c:pt idx="18">
                  <c:v>BE</c:v>
                </c:pt>
                <c:pt idx="19">
                  <c:v>LU</c:v>
                </c:pt>
                <c:pt idx="20">
                  <c:v>SG</c:v>
                </c:pt>
              </c:strCache>
            </c:strRef>
          </c:cat>
          <c:val>
            <c:numRef>
              <c:f>Summary_1!$B$59:$B$80</c:f>
              <c:numCache>
                <c:formatCode>General</c:formatCode>
                <c:ptCount val="21"/>
                <c:pt idx="0">
                  <c:v>257</c:v>
                </c:pt>
                <c:pt idx="1">
                  <c:v>25</c:v>
                </c:pt>
                <c:pt idx="2">
                  <c:v>17</c:v>
                </c:pt>
                <c:pt idx="3">
                  <c:v>14</c:v>
                </c:pt>
                <c:pt idx="4">
                  <c:v>3</c:v>
                </c:pt>
                <c:pt idx="5">
                  <c:v>3</c:v>
                </c:pt>
                <c:pt idx="6">
                  <c:v>5</c:v>
                </c:pt>
                <c:pt idx="7">
                  <c:v>4</c:v>
                </c:pt>
                <c:pt idx="8">
                  <c:v>1</c:v>
                </c:pt>
                <c:pt idx="9">
                  <c:v>5</c:v>
                </c:pt>
                <c:pt idx="10">
                  <c:v>2</c:v>
                </c:pt>
                <c:pt idx="11">
                  <c:v>4</c:v>
                </c:pt>
                <c:pt idx="12">
                  <c:v>1</c:v>
                </c:pt>
                <c:pt idx="13">
                  <c:v>4</c:v>
                </c:pt>
                <c:pt idx="15">
                  <c:v>3</c:v>
                </c:pt>
                <c:pt idx="17">
                  <c:v>1</c:v>
                </c:pt>
              </c:numCache>
            </c:numRef>
          </c:val>
          <c:extLst>
            <c:ext xmlns:c16="http://schemas.microsoft.com/office/drawing/2014/chart" uri="{C3380CC4-5D6E-409C-BE32-E72D297353CC}">
              <c16:uniqueId val="{00000000-1CBD-43FA-B427-780F2897361F}"/>
            </c:ext>
          </c:extLst>
        </c:ser>
        <c:ser>
          <c:idx val="1"/>
          <c:order val="1"/>
          <c:tx>
            <c:strRef>
              <c:f>Summary_1!$C$57:$C$58</c:f>
              <c:strCache>
                <c:ptCount val="1"/>
                <c:pt idx="0">
                  <c:v>failed</c:v>
                </c:pt>
              </c:strCache>
            </c:strRef>
          </c:tx>
          <c:spPr>
            <a:solidFill>
              <a:schemeClr val="accent2"/>
            </a:solidFill>
            <a:ln>
              <a:noFill/>
            </a:ln>
            <a:effectLst/>
          </c:spPr>
          <c:invertIfNegative val="0"/>
          <c:cat>
            <c:strRef>
              <c:f>Summary_1!$A$59:$A$80</c:f>
              <c:strCache>
                <c:ptCount val="21"/>
                <c:pt idx="0">
                  <c:v>US</c:v>
                </c:pt>
                <c:pt idx="1">
                  <c:v>GB</c:v>
                </c:pt>
                <c:pt idx="2">
                  <c:v>CA</c:v>
                </c:pt>
                <c:pt idx="3">
                  <c:v>AU</c:v>
                </c:pt>
                <c:pt idx="4">
                  <c:v>DE</c:v>
                </c:pt>
                <c:pt idx="5">
                  <c:v>IT</c:v>
                </c:pt>
                <c:pt idx="6">
                  <c:v>FR</c:v>
                </c:pt>
                <c:pt idx="7">
                  <c:v>NL</c:v>
                </c:pt>
                <c:pt idx="8">
                  <c:v>ES</c:v>
                </c:pt>
                <c:pt idx="9">
                  <c:v>SE</c:v>
                </c:pt>
                <c:pt idx="10">
                  <c:v>IE</c:v>
                </c:pt>
                <c:pt idx="11">
                  <c:v>DK</c:v>
                </c:pt>
                <c:pt idx="12">
                  <c:v>MX</c:v>
                </c:pt>
                <c:pt idx="13">
                  <c:v>NZ</c:v>
                </c:pt>
                <c:pt idx="14">
                  <c:v>NO</c:v>
                </c:pt>
                <c:pt idx="15">
                  <c:v>CH</c:v>
                </c:pt>
                <c:pt idx="16">
                  <c:v>AT</c:v>
                </c:pt>
                <c:pt idx="17">
                  <c:v>HK</c:v>
                </c:pt>
                <c:pt idx="18">
                  <c:v>BE</c:v>
                </c:pt>
                <c:pt idx="19">
                  <c:v>LU</c:v>
                </c:pt>
                <c:pt idx="20">
                  <c:v>SG</c:v>
                </c:pt>
              </c:strCache>
            </c:strRef>
          </c:cat>
          <c:val>
            <c:numRef>
              <c:f>Summary_1!$C$59:$C$80</c:f>
              <c:numCache>
                <c:formatCode>General</c:formatCode>
                <c:ptCount val="21"/>
                <c:pt idx="0">
                  <c:v>1097</c:v>
                </c:pt>
                <c:pt idx="1">
                  <c:v>205</c:v>
                </c:pt>
                <c:pt idx="2">
                  <c:v>64</c:v>
                </c:pt>
                <c:pt idx="3">
                  <c:v>41</c:v>
                </c:pt>
                <c:pt idx="4">
                  <c:v>27</c:v>
                </c:pt>
                <c:pt idx="5">
                  <c:v>19</c:v>
                </c:pt>
                <c:pt idx="6">
                  <c:v>10</c:v>
                </c:pt>
                <c:pt idx="7">
                  <c:v>14</c:v>
                </c:pt>
                <c:pt idx="8">
                  <c:v>9</c:v>
                </c:pt>
                <c:pt idx="9">
                  <c:v>9</c:v>
                </c:pt>
                <c:pt idx="10">
                  <c:v>4</c:v>
                </c:pt>
                <c:pt idx="11">
                  <c:v>6</c:v>
                </c:pt>
                <c:pt idx="12">
                  <c:v>8</c:v>
                </c:pt>
                <c:pt idx="13">
                  <c:v>5</c:v>
                </c:pt>
                <c:pt idx="14">
                  <c:v>5</c:v>
                </c:pt>
                <c:pt idx="15">
                  <c:v>2</c:v>
                </c:pt>
                <c:pt idx="16">
                  <c:v>2</c:v>
                </c:pt>
                <c:pt idx="17">
                  <c:v>2</c:v>
                </c:pt>
                <c:pt idx="18">
                  <c:v>1</c:v>
                </c:pt>
              </c:numCache>
            </c:numRef>
          </c:val>
          <c:extLst>
            <c:ext xmlns:c16="http://schemas.microsoft.com/office/drawing/2014/chart" uri="{C3380CC4-5D6E-409C-BE32-E72D297353CC}">
              <c16:uniqueId val="{00000001-1CBD-43FA-B427-780F2897361F}"/>
            </c:ext>
          </c:extLst>
        </c:ser>
        <c:ser>
          <c:idx val="2"/>
          <c:order val="2"/>
          <c:tx>
            <c:strRef>
              <c:f>Summary_1!$D$57:$D$58</c:f>
              <c:strCache>
                <c:ptCount val="1"/>
                <c:pt idx="0">
                  <c:v>live</c:v>
                </c:pt>
              </c:strCache>
            </c:strRef>
          </c:tx>
          <c:spPr>
            <a:solidFill>
              <a:schemeClr val="accent3"/>
            </a:solidFill>
            <a:ln>
              <a:noFill/>
            </a:ln>
            <a:effectLst/>
          </c:spPr>
          <c:invertIfNegative val="0"/>
          <c:cat>
            <c:strRef>
              <c:f>Summary_1!$A$59:$A$80</c:f>
              <c:strCache>
                <c:ptCount val="21"/>
                <c:pt idx="0">
                  <c:v>US</c:v>
                </c:pt>
                <c:pt idx="1">
                  <c:v>GB</c:v>
                </c:pt>
                <c:pt idx="2">
                  <c:v>CA</c:v>
                </c:pt>
                <c:pt idx="3">
                  <c:v>AU</c:v>
                </c:pt>
                <c:pt idx="4">
                  <c:v>DE</c:v>
                </c:pt>
                <c:pt idx="5">
                  <c:v>IT</c:v>
                </c:pt>
                <c:pt idx="6">
                  <c:v>FR</c:v>
                </c:pt>
                <c:pt idx="7">
                  <c:v>NL</c:v>
                </c:pt>
                <c:pt idx="8">
                  <c:v>ES</c:v>
                </c:pt>
                <c:pt idx="9">
                  <c:v>SE</c:v>
                </c:pt>
                <c:pt idx="10">
                  <c:v>IE</c:v>
                </c:pt>
                <c:pt idx="11">
                  <c:v>DK</c:v>
                </c:pt>
                <c:pt idx="12">
                  <c:v>MX</c:v>
                </c:pt>
                <c:pt idx="13">
                  <c:v>NZ</c:v>
                </c:pt>
                <c:pt idx="14">
                  <c:v>NO</c:v>
                </c:pt>
                <c:pt idx="15">
                  <c:v>CH</c:v>
                </c:pt>
                <c:pt idx="16">
                  <c:v>AT</c:v>
                </c:pt>
                <c:pt idx="17">
                  <c:v>HK</c:v>
                </c:pt>
                <c:pt idx="18">
                  <c:v>BE</c:v>
                </c:pt>
                <c:pt idx="19">
                  <c:v>LU</c:v>
                </c:pt>
                <c:pt idx="20">
                  <c:v>SG</c:v>
                </c:pt>
              </c:strCache>
            </c:strRef>
          </c:cat>
          <c:val>
            <c:numRef>
              <c:f>Summary_1!$D$59:$D$80</c:f>
              <c:numCache>
                <c:formatCode>General</c:formatCode>
                <c:ptCount val="21"/>
                <c:pt idx="0">
                  <c:v>33</c:v>
                </c:pt>
                <c:pt idx="1">
                  <c:v>8</c:v>
                </c:pt>
                <c:pt idx="2">
                  <c:v>1</c:v>
                </c:pt>
                <c:pt idx="6">
                  <c:v>2</c:v>
                </c:pt>
                <c:pt idx="7">
                  <c:v>1</c:v>
                </c:pt>
                <c:pt idx="10">
                  <c:v>1</c:v>
                </c:pt>
                <c:pt idx="12">
                  <c:v>3</c:v>
                </c:pt>
                <c:pt idx="16">
                  <c:v>1</c:v>
                </c:pt>
              </c:numCache>
            </c:numRef>
          </c:val>
          <c:extLst>
            <c:ext xmlns:c16="http://schemas.microsoft.com/office/drawing/2014/chart" uri="{C3380CC4-5D6E-409C-BE32-E72D297353CC}">
              <c16:uniqueId val="{00000002-1CBD-43FA-B427-780F2897361F}"/>
            </c:ext>
          </c:extLst>
        </c:ser>
        <c:ser>
          <c:idx val="3"/>
          <c:order val="3"/>
          <c:tx>
            <c:strRef>
              <c:f>Summary_1!$E$57:$E$58</c:f>
              <c:strCache>
                <c:ptCount val="1"/>
                <c:pt idx="0">
                  <c:v>successful</c:v>
                </c:pt>
              </c:strCache>
            </c:strRef>
          </c:tx>
          <c:spPr>
            <a:solidFill>
              <a:schemeClr val="accent4"/>
            </a:solidFill>
            <a:ln>
              <a:noFill/>
            </a:ln>
            <a:effectLst/>
          </c:spPr>
          <c:invertIfNegative val="0"/>
          <c:cat>
            <c:strRef>
              <c:f>Summary_1!$A$59:$A$80</c:f>
              <c:strCache>
                <c:ptCount val="21"/>
                <c:pt idx="0">
                  <c:v>US</c:v>
                </c:pt>
                <c:pt idx="1">
                  <c:v>GB</c:v>
                </c:pt>
                <c:pt idx="2">
                  <c:v>CA</c:v>
                </c:pt>
                <c:pt idx="3">
                  <c:v>AU</c:v>
                </c:pt>
                <c:pt idx="4">
                  <c:v>DE</c:v>
                </c:pt>
                <c:pt idx="5">
                  <c:v>IT</c:v>
                </c:pt>
                <c:pt idx="6">
                  <c:v>FR</c:v>
                </c:pt>
                <c:pt idx="7">
                  <c:v>NL</c:v>
                </c:pt>
                <c:pt idx="8">
                  <c:v>ES</c:v>
                </c:pt>
                <c:pt idx="9">
                  <c:v>SE</c:v>
                </c:pt>
                <c:pt idx="10">
                  <c:v>IE</c:v>
                </c:pt>
                <c:pt idx="11">
                  <c:v>DK</c:v>
                </c:pt>
                <c:pt idx="12">
                  <c:v>MX</c:v>
                </c:pt>
                <c:pt idx="13">
                  <c:v>NZ</c:v>
                </c:pt>
                <c:pt idx="14">
                  <c:v>NO</c:v>
                </c:pt>
                <c:pt idx="15">
                  <c:v>CH</c:v>
                </c:pt>
                <c:pt idx="16">
                  <c:v>AT</c:v>
                </c:pt>
                <c:pt idx="17">
                  <c:v>HK</c:v>
                </c:pt>
                <c:pt idx="18">
                  <c:v>BE</c:v>
                </c:pt>
                <c:pt idx="19">
                  <c:v>LU</c:v>
                </c:pt>
                <c:pt idx="20">
                  <c:v>SG</c:v>
                </c:pt>
              </c:strCache>
            </c:strRef>
          </c:cat>
          <c:val>
            <c:numRef>
              <c:f>Summary_1!$E$59:$E$80</c:f>
              <c:numCache>
                <c:formatCode>General</c:formatCode>
                <c:ptCount val="21"/>
                <c:pt idx="0">
                  <c:v>1651</c:v>
                </c:pt>
                <c:pt idx="1">
                  <c:v>366</c:v>
                </c:pt>
                <c:pt idx="2">
                  <c:v>64</c:v>
                </c:pt>
                <c:pt idx="3">
                  <c:v>19</c:v>
                </c:pt>
                <c:pt idx="4">
                  <c:v>23</c:v>
                </c:pt>
                <c:pt idx="5">
                  <c:v>7</c:v>
                </c:pt>
                <c:pt idx="6">
                  <c:v>10</c:v>
                </c:pt>
                <c:pt idx="7">
                  <c:v>2</c:v>
                </c:pt>
                <c:pt idx="8">
                  <c:v>11</c:v>
                </c:pt>
                <c:pt idx="9">
                  <c:v>7</c:v>
                </c:pt>
                <c:pt idx="10">
                  <c:v>8</c:v>
                </c:pt>
                <c:pt idx="11">
                  <c:v>4</c:v>
                </c:pt>
                <c:pt idx="13">
                  <c:v>3</c:v>
                </c:pt>
                <c:pt idx="14">
                  <c:v>2</c:v>
                </c:pt>
                <c:pt idx="15">
                  <c:v>1</c:v>
                </c:pt>
                <c:pt idx="16">
                  <c:v>3</c:v>
                </c:pt>
                <c:pt idx="18">
                  <c:v>1</c:v>
                </c:pt>
                <c:pt idx="19">
                  <c:v>2</c:v>
                </c:pt>
                <c:pt idx="20">
                  <c:v>1</c:v>
                </c:pt>
              </c:numCache>
            </c:numRef>
          </c:val>
          <c:extLst>
            <c:ext xmlns:c16="http://schemas.microsoft.com/office/drawing/2014/chart" uri="{C3380CC4-5D6E-409C-BE32-E72D297353CC}">
              <c16:uniqueId val="{00000003-1CBD-43FA-B427-780F2897361F}"/>
            </c:ext>
          </c:extLst>
        </c:ser>
        <c:dLbls>
          <c:showLegendKey val="0"/>
          <c:showVal val="0"/>
          <c:showCatName val="0"/>
          <c:showSerName val="0"/>
          <c:showPercent val="0"/>
          <c:showBubbleSize val="0"/>
        </c:dLbls>
        <c:gapWidth val="150"/>
        <c:overlap val="100"/>
        <c:axId val="1018483432"/>
        <c:axId val="1018485072"/>
      </c:barChart>
      <c:catAx>
        <c:axId val="1018483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8485072"/>
        <c:crosses val="autoZero"/>
        <c:auto val="1"/>
        <c:lblAlgn val="ctr"/>
        <c:lblOffset val="100"/>
        <c:noMultiLvlLbl val="0"/>
      </c:catAx>
      <c:valAx>
        <c:axId val="1018485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84834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Pledged amount per</a:t>
            </a:r>
            <a:r>
              <a:rPr lang="en-US" baseline="0"/>
              <a:t> Project Histogram</a:t>
            </a:r>
            <a:endParaRPr lang="en-US"/>
          </a:p>
        </c:rich>
      </c:tx>
      <c:overlay val="0"/>
    </c:title>
    <c:autoTitleDeleted val="0"/>
    <c:plotArea>
      <c:layout/>
      <c:barChart>
        <c:barDir val="col"/>
        <c:grouping val="clustered"/>
        <c:varyColors val="0"/>
        <c:ser>
          <c:idx val="0"/>
          <c:order val="0"/>
          <c:invertIfNegative val="0"/>
          <c:cat>
            <c:strRef>
              <c:f>Pledged_Histogram!$A$2:$A$31</c:f>
              <c:strCache>
                <c:ptCount val="30"/>
                <c:pt idx="0">
                  <c:v>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pt idx="21">
                  <c:v>21000</c:v>
                </c:pt>
                <c:pt idx="22">
                  <c:v>22000</c:v>
                </c:pt>
                <c:pt idx="23">
                  <c:v>23000</c:v>
                </c:pt>
                <c:pt idx="24">
                  <c:v>24000</c:v>
                </c:pt>
                <c:pt idx="25">
                  <c:v>25000</c:v>
                </c:pt>
                <c:pt idx="26">
                  <c:v>26000</c:v>
                </c:pt>
                <c:pt idx="27">
                  <c:v>27000</c:v>
                </c:pt>
                <c:pt idx="28">
                  <c:v>28000</c:v>
                </c:pt>
                <c:pt idx="29">
                  <c:v>More</c:v>
                </c:pt>
              </c:strCache>
            </c:strRef>
          </c:cat>
          <c:val>
            <c:numRef>
              <c:f>Pledged_Histogram!$B$2:$B$31</c:f>
              <c:numCache>
                <c:formatCode>General</c:formatCode>
                <c:ptCount val="30"/>
                <c:pt idx="0">
                  <c:v>410</c:v>
                </c:pt>
                <c:pt idx="1">
                  <c:v>1343</c:v>
                </c:pt>
                <c:pt idx="2">
                  <c:v>455</c:v>
                </c:pt>
                <c:pt idx="3">
                  <c:v>350</c:v>
                </c:pt>
                <c:pt idx="4">
                  <c:v>227</c:v>
                </c:pt>
                <c:pt idx="5">
                  <c:v>148</c:v>
                </c:pt>
                <c:pt idx="6">
                  <c:v>167</c:v>
                </c:pt>
                <c:pt idx="7">
                  <c:v>93</c:v>
                </c:pt>
                <c:pt idx="8">
                  <c:v>74</c:v>
                </c:pt>
                <c:pt idx="9">
                  <c:v>81</c:v>
                </c:pt>
                <c:pt idx="10">
                  <c:v>37</c:v>
                </c:pt>
                <c:pt idx="11">
                  <c:v>72</c:v>
                </c:pt>
                <c:pt idx="12">
                  <c:v>52</c:v>
                </c:pt>
                <c:pt idx="13">
                  <c:v>38</c:v>
                </c:pt>
                <c:pt idx="14">
                  <c:v>27</c:v>
                </c:pt>
                <c:pt idx="15">
                  <c:v>12</c:v>
                </c:pt>
                <c:pt idx="16">
                  <c:v>46</c:v>
                </c:pt>
                <c:pt idx="17">
                  <c:v>16</c:v>
                </c:pt>
                <c:pt idx="18">
                  <c:v>22</c:v>
                </c:pt>
                <c:pt idx="19">
                  <c:v>13</c:v>
                </c:pt>
                <c:pt idx="20">
                  <c:v>14</c:v>
                </c:pt>
                <c:pt idx="21">
                  <c:v>23</c:v>
                </c:pt>
                <c:pt idx="22">
                  <c:v>22</c:v>
                </c:pt>
                <c:pt idx="23">
                  <c:v>11</c:v>
                </c:pt>
                <c:pt idx="24">
                  <c:v>8</c:v>
                </c:pt>
                <c:pt idx="25">
                  <c:v>11</c:v>
                </c:pt>
                <c:pt idx="26">
                  <c:v>14</c:v>
                </c:pt>
                <c:pt idx="27">
                  <c:v>17</c:v>
                </c:pt>
                <c:pt idx="28">
                  <c:v>7</c:v>
                </c:pt>
                <c:pt idx="29">
                  <c:v>304</c:v>
                </c:pt>
              </c:numCache>
            </c:numRef>
          </c:val>
          <c:extLst>
            <c:ext xmlns:c16="http://schemas.microsoft.com/office/drawing/2014/chart" uri="{C3380CC4-5D6E-409C-BE32-E72D297353CC}">
              <c16:uniqueId val="{00000000-2F35-4DED-9233-B67FFCD5EDCF}"/>
            </c:ext>
          </c:extLst>
        </c:ser>
        <c:dLbls>
          <c:showLegendKey val="0"/>
          <c:showVal val="0"/>
          <c:showCatName val="0"/>
          <c:showSerName val="0"/>
          <c:showPercent val="0"/>
          <c:showBubbleSize val="0"/>
        </c:dLbls>
        <c:gapWidth val="150"/>
        <c:axId val="1280438848"/>
        <c:axId val="1280437864"/>
      </c:barChart>
      <c:lineChart>
        <c:grouping val="standard"/>
        <c:varyColors val="0"/>
        <c:ser>
          <c:idx val="1"/>
          <c:order val="1"/>
          <c:cat>
            <c:strRef>
              <c:f>Pledged_Histogram!$A$2:$A$31</c:f>
              <c:strCache>
                <c:ptCount val="30"/>
                <c:pt idx="0">
                  <c:v>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pt idx="21">
                  <c:v>21000</c:v>
                </c:pt>
                <c:pt idx="22">
                  <c:v>22000</c:v>
                </c:pt>
                <c:pt idx="23">
                  <c:v>23000</c:v>
                </c:pt>
                <c:pt idx="24">
                  <c:v>24000</c:v>
                </c:pt>
                <c:pt idx="25">
                  <c:v>25000</c:v>
                </c:pt>
                <c:pt idx="26">
                  <c:v>26000</c:v>
                </c:pt>
                <c:pt idx="27">
                  <c:v>27000</c:v>
                </c:pt>
                <c:pt idx="28">
                  <c:v>28000</c:v>
                </c:pt>
                <c:pt idx="29">
                  <c:v>More</c:v>
                </c:pt>
              </c:strCache>
            </c:strRef>
          </c:cat>
          <c:val>
            <c:numRef>
              <c:f>Pledged_Histogram!$C$2:$C$31</c:f>
              <c:numCache>
                <c:formatCode>0.00%</c:formatCode>
                <c:ptCount val="30"/>
                <c:pt idx="0">
                  <c:v>9.9659698590179868E-2</c:v>
                </c:pt>
                <c:pt idx="1">
                  <c:v>0.42610597958191543</c:v>
                </c:pt>
                <c:pt idx="2">
                  <c:v>0.53670393777345649</c:v>
                </c:pt>
                <c:pt idx="3">
                  <c:v>0.6217792902284881</c:v>
                </c:pt>
                <c:pt idx="4">
                  <c:v>0.67695673310646576</c:v>
                </c:pt>
                <c:pt idx="5">
                  <c:v>0.71293145357316479</c:v>
                </c:pt>
                <c:pt idx="6">
                  <c:v>0.75352455031599419</c:v>
                </c:pt>
                <c:pt idx="7">
                  <c:v>0.77613028682547403</c:v>
                </c:pt>
                <c:pt idx="8">
                  <c:v>0.79411764705882348</c:v>
                </c:pt>
                <c:pt idx="9">
                  <c:v>0.81380651434127371</c:v>
                </c:pt>
                <c:pt idx="10">
                  <c:v>0.8228001944579485</c:v>
                </c:pt>
                <c:pt idx="11">
                  <c:v>0.84030140982012635</c:v>
                </c:pt>
                <c:pt idx="12">
                  <c:v>0.8529411764705882</c:v>
                </c:pt>
                <c:pt idx="13">
                  <c:v>0.86217792902284884</c:v>
                </c:pt>
                <c:pt idx="14">
                  <c:v>0.86874088478366551</c:v>
                </c:pt>
                <c:pt idx="15">
                  <c:v>0.87165775401069523</c:v>
                </c:pt>
                <c:pt idx="16">
                  <c:v>0.88283908604764216</c:v>
                </c:pt>
                <c:pt idx="17">
                  <c:v>0.88672824501701508</c:v>
                </c:pt>
                <c:pt idx="18">
                  <c:v>0.8920758385999028</c:v>
                </c:pt>
                <c:pt idx="19">
                  <c:v>0.89523578026251827</c:v>
                </c:pt>
                <c:pt idx="20">
                  <c:v>0.89863879436071947</c:v>
                </c:pt>
                <c:pt idx="21">
                  <c:v>0.90422946037919305</c:v>
                </c:pt>
                <c:pt idx="22">
                  <c:v>0.90957705396208066</c:v>
                </c:pt>
                <c:pt idx="23">
                  <c:v>0.91225085075352452</c:v>
                </c:pt>
                <c:pt idx="24">
                  <c:v>0.91419543023821104</c:v>
                </c:pt>
                <c:pt idx="25">
                  <c:v>0.91686922702965479</c:v>
                </c:pt>
                <c:pt idx="26">
                  <c:v>0.92027224112785611</c:v>
                </c:pt>
                <c:pt idx="27">
                  <c:v>0.92440447253281477</c:v>
                </c:pt>
                <c:pt idx="28">
                  <c:v>0.92610597958191543</c:v>
                </c:pt>
                <c:pt idx="29">
                  <c:v>1</c:v>
                </c:pt>
              </c:numCache>
            </c:numRef>
          </c:val>
          <c:smooth val="0"/>
          <c:extLst>
            <c:ext xmlns:c16="http://schemas.microsoft.com/office/drawing/2014/chart" uri="{C3380CC4-5D6E-409C-BE32-E72D297353CC}">
              <c16:uniqueId val="{00000001-2F35-4DED-9233-B67FFCD5EDCF}"/>
            </c:ext>
          </c:extLst>
        </c:ser>
        <c:dLbls>
          <c:showLegendKey val="0"/>
          <c:showVal val="0"/>
          <c:showCatName val="0"/>
          <c:showSerName val="0"/>
          <c:showPercent val="0"/>
          <c:showBubbleSize val="0"/>
        </c:dLbls>
        <c:marker val="1"/>
        <c:smooth val="0"/>
        <c:axId val="1280440160"/>
        <c:axId val="1280443440"/>
      </c:lineChart>
      <c:catAx>
        <c:axId val="1280438848"/>
        <c:scaling>
          <c:orientation val="minMax"/>
        </c:scaling>
        <c:delete val="0"/>
        <c:axPos val="b"/>
        <c:title>
          <c:tx>
            <c:rich>
              <a:bodyPr/>
              <a:lstStyle/>
              <a:p>
                <a:pPr>
                  <a:defRPr/>
                </a:pPr>
                <a:r>
                  <a:rPr lang="en-US"/>
                  <a:t>Pledged Amount</a:t>
                </a:r>
              </a:p>
            </c:rich>
          </c:tx>
          <c:overlay val="0"/>
        </c:title>
        <c:numFmt formatCode="General" sourceLinked="1"/>
        <c:majorTickMark val="out"/>
        <c:minorTickMark val="none"/>
        <c:tickLblPos val="nextTo"/>
        <c:crossAx val="1280437864"/>
        <c:crosses val="autoZero"/>
        <c:auto val="1"/>
        <c:lblAlgn val="ctr"/>
        <c:lblOffset val="100"/>
        <c:noMultiLvlLbl val="0"/>
      </c:catAx>
      <c:valAx>
        <c:axId val="1280437864"/>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1280438848"/>
        <c:crosses val="autoZero"/>
        <c:crossBetween val="between"/>
      </c:valAx>
      <c:valAx>
        <c:axId val="1280443440"/>
        <c:scaling>
          <c:orientation val="minMax"/>
        </c:scaling>
        <c:delete val="0"/>
        <c:axPos val="r"/>
        <c:numFmt formatCode="0.00%" sourceLinked="1"/>
        <c:majorTickMark val="out"/>
        <c:minorTickMark val="none"/>
        <c:tickLblPos val="nextTo"/>
        <c:crossAx val="1280440160"/>
        <c:crosses val="max"/>
        <c:crossBetween val="between"/>
      </c:valAx>
      <c:catAx>
        <c:axId val="1280440160"/>
        <c:scaling>
          <c:orientation val="minMax"/>
        </c:scaling>
        <c:delete val="1"/>
        <c:axPos val="b"/>
        <c:numFmt formatCode="General" sourceLinked="1"/>
        <c:majorTickMark val="out"/>
        <c:minorTickMark val="none"/>
        <c:tickLblPos val="nextTo"/>
        <c:crossAx val="1280443440"/>
        <c:crosses val="autoZero"/>
        <c:auto val="1"/>
        <c:lblAlgn val="ctr"/>
        <c:lblOffset val="100"/>
        <c:noMultiLvlLbl val="0"/>
      </c:cat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[KickStarterBook_MarkLevine.xlsx]Summary_4!DatexState</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Percent Funded by Year, by deciles</a:t>
            </a:r>
            <a:r>
              <a:rPr lang="en-US" baseline="0"/>
              <a:t> (0-10%,11-20%....100%+)</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pivotFmt>
      <c:pivotFmt>
        <c:idx val="1"/>
      </c:pivotFmt>
      <c:pivotFmt>
        <c:idx val="2"/>
      </c:pivotFmt>
      <c:pivotFmt>
        <c:idx val="3"/>
      </c:pivotFmt>
      <c:pivotFmt>
        <c:idx val="4"/>
      </c:pivotFmt>
      <c:pivotFmt>
        <c:idx val="5"/>
      </c:pivotFmt>
      <c:pivotFmt>
        <c:idx val="6"/>
      </c:pivotFmt>
      <c:pivotFmt>
        <c:idx val="7"/>
      </c:pivotFmt>
      <c:pivotFmt>
        <c:idx val="8"/>
      </c:pivotFmt>
      <c:pivotFmt>
        <c:idx val="9"/>
      </c:pivotFmt>
      <c:pivotFmt>
        <c:idx val="10"/>
      </c:pivotFmt>
      <c:pivotFmt>
        <c:idx val="11"/>
      </c:pivotFmt>
      <c:pivotFmt>
        <c:idx val="12"/>
      </c:pivotFmt>
      <c:pivotFmt>
        <c:idx val="13"/>
      </c:pivotFmt>
      <c:pivotFmt>
        <c:idx val="14"/>
      </c:pivotFmt>
      <c:pivotFmt>
        <c:idx val="15"/>
      </c:pivotFmt>
      <c:pivotFmt>
        <c:idx val="16"/>
      </c:pivotFmt>
      <c:pivotFmt>
        <c:idx val="17"/>
      </c:pivotFmt>
      <c:pivotFmt>
        <c:idx val="18"/>
      </c:pivotFmt>
      <c:pivotFmt>
        <c:idx val="19"/>
      </c:pivotFmt>
      <c:pivotFmt>
        <c:idx val="2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2">
                    <a:shade val="53000"/>
                    <a:satMod val="103000"/>
                    <a:lumMod val="102000"/>
                    <a:tint val="94000"/>
                  </a:schemeClr>
                </a:gs>
                <a:gs pos="50000">
                  <a:schemeClr val="accent2">
                    <a:shade val="53000"/>
                    <a:satMod val="110000"/>
                    <a:lumMod val="100000"/>
                    <a:shade val="100000"/>
                  </a:schemeClr>
                </a:gs>
                <a:gs pos="100000">
                  <a:schemeClr val="accent2">
                    <a:shade val="53000"/>
                    <a:lumMod val="99000"/>
                    <a:satMod val="120000"/>
                    <a:shade val="78000"/>
                  </a:schemeClr>
                </a:gs>
              </a:gsLst>
              <a:lin ang="5400000" scaled="0"/>
            </a:gradFill>
            <a:ln w="9525">
              <a:solidFill>
                <a:schemeClr val="accent2">
                  <a:shade val="53000"/>
                </a:schemeClr>
              </a:solidFill>
              <a:round/>
            </a:ln>
            <a:effectLst>
              <a:outerShdw blurRad="57150" dist="19050" dir="5400000" algn="ctr" rotWithShape="0">
                <a:srgbClr val="000000">
                  <a:alpha val="63000"/>
                </a:srgbClr>
              </a:outerShdw>
            </a:effectLst>
          </c:spPr>
        </c:marker>
      </c:pivotFmt>
      <c:pivotFmt>
        <c:idx val="2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2">
                    <a:shade val="65000"/>
                    <a:satMod val="103000"/>
                    <a:lumMod val="102000"/>
                    <a:tint val="94000"/>
                  </a:schemeClr>
                </a:gs>
                <a:gs pos="50000">
                  <a:schemeClr val="accent2">
                    <a:shade val="65000"/>
                    <a:satMod val="110000"/>
                    <a:lumMod val="100000"/>
                    <a:shade val="100000"/>
                  </a:schemeClr>
                </a:gs>
                <a:gs pos="100000">
                  <a:schemeClr val="accent2">
                    <a:shade val="65000"/>
                    <a:lumMod val="99000"/>
                    <a:satMod val="120000"/>
                    <a:shade val="78000"/>
                  </a:schemeClr>
                </a:gs>
              </a:gsLst>
              <a:lin ang="5400000" scaled="0"/>
            </a:gradFill>
            <a:ln w="9525">
              <a:solidFill>
                <a:schemeClr val="accent2">
                  <a:shade val="65000"/>
                </a:schemeClr>
              </a:solidFill>
              <a:round/>
            </a:ln>
            <a:effectLst>
              <a:outerShdw blurRad="57150" dist="19050" dir="5400000" algn="ctr" rotWithShape="0">
                <a:srgbClr val="000000">
                  <a:alpha val="63000"/>
                </a:srgbClr>
              </a:outerShdw>
            </a:effectLst>
          </c:spPr>
        </c:marker>
      </c:pivotFmt>
      <c:pivotFmt>
        <c:idx val="22"/>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2">
                    <a:shade val="76000"/>
                    <a:satMod val="103000"/>
                    <a:lumMod val="102000"/>
                    <a:tint val="94000"/>
                  </a:schemeClr>
                </a:gs>
                <a:gs pos="50000">
                  <a:schemeClr val="accent2">
                    <a:shade val="76000"/>
                    <a:satMod val="110000"/>
                    <a:lumMod val="100000"/>
                    <a:shade val="100000"/>
                  </a:schemeClr>
                </a:gs>
                <a:gs pos="100000">
                  <a:schemeClr val="accent2">
                    <a:shade val="76000"/>
                    <a:lumMod val="99000"/>
                    <a:satMod val="120000"/>
                    <a:shade val="78000"/>
                  </a:schemeClr>
                </a:gs>
              </a:gsLst>
              <a:lin ang="5400000" scaled="0"/>
            </a:gradFill>
            <a:ln w="9525">
              <a:solidFill>
                <a:schemeClr val="accent2">
                  <a:shade val="76000"/>
                </a:schemeClr>
              </a:solidFill>
              <a:round/>
            </a:ln>
            <a:effectLst>
              <a:outerShdw blurRad="57150" dist="19050" dir="5400000" algn="ctr" rotWithShape="0">
                <a:srgbClr val="000000">
                  <a:alpha val="63000"/>
                </a:srgbClr>
              </a:outerShdw>
            </a:effectLst>
          </c:spPr>
        </c:marker>
      </c:pivotFmt>
      <c:pivotFmt>
        <c:idx val="23"/>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2">
                    <a:shade val="88000"/>
                    <a:satMod val="103000"/>
                    <a:lumMod val="102000"/>
                    <a:tint val="94000"/>
                  </a:schemeClr>
                </a:gs>
                <a:gs pos="50000">
                  <a:schemeClr val="accent2">
                    <a:shade val="88000"/>
                    <a:satMod val="110000"/>
                    <a:lumMod val="100000"/>
                    <a:shade val="100000"/>
                  </a:schemeClr>
                </a:gs>
                <a:gs pos="100000">
                  <a:schemeClr val="accent2">
                    <a:shade val="88000"/>
                    <a:lumMod val="99000"/>
                    <a:satMod val="120000"/>
                    <a:shade val="78000"/>
                  </a:schemeClr>
                </a:gs>
              </a:gsLst>
              <a:lin ang="5400000" scaled="0"/>
            </a:gradFill>
            <a:ln w="9525">
              <a:solidFill>
                <a:schemeClr val="accent2">
                  <a:shade val="88000"/>
                </a:schemeClr>
              </a:solidFill>
              <a:round/>
            </a:ln>
            <a:effectLst>
              <a:outerShdw blurRad="57150" dist="19050" dir="5400000" algn="ctr" rotWithShape="0">
                <a:srgbClr val="000000">
                  <a:alpha val="63000"/>
                </a:srgbClr>
              </a:outerShdw>
            </a:effectLst>
          </c:spPr>
        </c:marker>
      </c:pivotFmt>
      <c:pivotFmt>
        <c:idx val="24"/>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pivotFmt>
      <c:pivotFmt>
        <c:idx val="2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2">
                    <a:tint val="89000"/>
                    <a:satMod val="103000"/>
                    <a:lumMod val="102000"/>
                    <a:tint val="94000"/>
                  </a:schemeClr>
                </a:gs>
                <a:gs pos="50000">
                  <a:schemeClr val="accent2">
                    <a:tint val="89000"/>
                    <a:satMod val="110000"/>
                    <a:lumMod val="100000"/>
                    <a:shade val="100000"/>
                  </a:schemeClr>
                </a:gs>
                <a:gs pos="100000">
                  <a:schemeClr val="accent2">
                    <a:tint val="89000"/>
                    <a:lumMod val="99000"/>
                    <a:satMod val="120000"/>
                    <a:shade val="78000"/>
                  </a:schemeClr>
                </a:gs>
              </a:gsLst>
              <a:lin ang="5400000" scaled="0"/>
            </a:gradFill>
            <a:ln w="9525">
              <a:solidFill>
                <a:schemeClr val="accent2">
                  <a:tint val="89000"/>
                </a:schemeClr>
              </a:solidFill>
              <a:round/>
            </a:ln>
            <a:effectLst>
              <a:outerShdw blurRad="57150" dist="19050" dir="5400000" algn="ctr" rotWithShape="0">
                <a:srgbClr val="000000">
                  <a:alpha val="63000"/>
                </a:srgbClr>
              </a:outerShdw>
            </a:effectLst>
          </c:spPr>
        </c:marker>
      </c:pivotFmt>
      <c:pivotFmt>
        <c:idx val="2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2">
                    <a:tint val="77000"/>
                    <a:satMod val="103000"/>
                    <a:lumMod val="102000"/>
                    <a:tint val="94000"/>
                  </a:schemeClr>
                </a:gs>
                <a:gs pos="50000">
                  <a:schemeClr val="accent2">
                    <a:tint val="77000"/>
                    <a:satMod val="110000"/>
                    <a:lumMod val="100000"/>
                    <a:shade val="100000"/>
                  </a:schemeClr>
                </a:gs>
                <a:gs pos="100000">
                  <a:schemeClr val="accent2">
                    <a:tint val="77000"/>
                    <a:lumMod val="99000"/>
                    <a:satMod val="120000"/>
                    <a:shade val="78000"/>
                  </a:schemeClr>
                </a:gs>
              </a:gsLst>
              <a:lin ang="5400000" scaled="0"/>
            </a:gradFill>
            <a:ln w="9525">
              <a:solidFill>
                <a:schemeClr val="accent2">
                  <a:tint val="77000"/>
                </a:schemeClr>
              </a:solidFill>
              <a:round/>
            </a:ln>
            <a:effectLst>
              <a:outerShdw blurRad="57150" dist="19050" dir="5400000" algn="ctr" rotWithShape="0">
                <a:srgbClr val="000000">
                  <a:alpha val="63000"/>
                </a:srgbClr>
              </a:outerShdw>
            </a:effectLst>
          </c:spPr>
        </c:marker>
      </c:pivotFmt>
      <c:pivotFmt>
        <c:idx val="27"/>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2">
                    <a:tint val="65000"/>
                    <a:satMod val="103000"/>
                    <a:lumMod val="102000"/>
                    <a:tint val="94000"/>
                  </a:schemeClr>
                </a:gs>
                <a:gs pos="50000">
                  <a:schemeClr val="accent2">
                    <a:tint val="65000"/>
                    <a:satMod val="110000"/>
                    <a:lumMod val="100000"/>
                    <a:shade val="100000"/>
                  </a:schemeClr>
                </a:gs>
                <a:gs pos="100000">
                  <a:schemeClr val="accent2">
                    <a:tint val="65000"/>
                    <a:lumMod val="99000"/>
                    <a:satMod val="120000"/>
                    <a:shade val="78000"/>
                  </a:schemeClr>
                </a:gs>
              </a:gsLst>
              <a:lin ang="5400000" scaled="0"/>
            </a:gradFill>
            <a:ln w="9525">
              <a:solidFill>
                <a:schemeClr val="accent2">
                  <a:tint val="65000"/>
                </a:schemeClr>
              </a:solidFill>
              <a:round/>
            </a:ln>
            <a:effectLst>
              <a:outerShdw blurRad="57150" dist="19050" dir="5400000" algn="ctr" rotWithShape="0">
                <a:srgbClr val="000000">
                  <a:alpha val="63000"/>
                </a:srgbClr>
              </a:outerShdw>
            </a:effectLst>
          </c:spPr>
        </c:marker>
      </c:pivotFmt>
      <c:pivotFmt>
        <c:idx val="28"/>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2">
                    <a:tint val="54000"/>
                    <a:satMod val="103000"/>
                    <a:lumMod val="102000"/>
                    <a:tint val="94000"/>
                  </a:schemeClr>
                </a:gs>
                <a:gs pos="50000">
                  <a:schemeClr val="accent2">
                    <a:tint val="54000"/>
                    <a:satMod val="110000"/>
                    <a:lumMod val="100000"/>
                    <a:shade val="100000"/>
                  </a:schemeClr>
                </a:gs>
                <a:gs pos="100000">
                  <a:schemeClr val="accent2">
                    <a:tint val="54000"/>
                    <a:lumMod val="99000"/>
                    <a:satMod val="120000"/>
                    <a:shade val="78000"/>
                  </a:schemeClr>
                </a:gs>
              </a:gsLst>
              <a:lin ang="5400000" scaled="0"/>
            </a:gradFill>
            <a:ln w="9525">
              <a:solidFill>
                <a:schemeClr val="accent2">
                  <a:tint val="54000"/>
                </a:schemeClr>
              </a:solidFill>
              <a:round/>
            </a:ln>
            <a:effectLst>
              <a:outerShdw blurRad="57150" dist="19050" dir="5400000" algn="ctr" rotWithShape="0">
                <a:srgbClr val="000000">
                  <a:alpha val="63000"/>
                </a:srgbClr>
              </a:outerShdw>
            </a:effectLst>
          </c:spPr>
        </c:marker>
      </c:pivotFmt>
      <c:pivotFmt>
        <c:idx val="29"/>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2">
                    <a:tint val="42000"/>
                    <a:satMod val="103000"/>
                    <a:lumMod val="102000"/>
                    <a:tint val="94000"/>
                  </a:schemeClr>
                </a:gs>
                <a:gs pos="50000">
                  <a:schemeClr val="accent2">
                    <a:tint val="42000"/>
                    <a:satMod val="110000"/>
                    <a:lumMod val="100000"/>
                    <a:shade val="100000"/>
                  </a:schemeClr>
                </a:gs>
                <a:gs pos="100000">
                  <a:schemeClr val="accent2">
                    <a:tint val="42000"/>
                    <a:lumMod val="99000"/>
                    <a:satMod val="120000"/>
                    <a:shade val="78000"/>
                  </a:schemeClr>
                </a:gs>
              </a:gsLst>
              <a:lin ang="5400000" scaled="0"/>
            </a:gradFill>
            <a:ln w="9525">
              <a:solidFill>
                <a:schemeClr val="accent2">
                  <a:tint val="42000"/>
                </a:schemeClr>
              </a:solidFill>
              <a:round/>
            </a:ln>
            <a:effectLst>
              <a:outerShdw blurRad="57150" dist="19050" dir="5400000" algn="ctr" rotWithShape="0">
                <a:srgbClr val="000000">
                  <a:alpha val="63000"/>
                </a:srgbClr>
              </a:outerShdw>
            </a:effectLst>
          </c:spPr>
        </c:marker>
      </c:pivotFmt>
      <c:pivotFmt>
        <c:idx val="3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2">
                    <a:shade val="41000"/>
                    <a:satMod val="103000"/>
                    <a:lumMod val="102000"/>
                    <a:tint val="94000"/>
                  </a:schemeClr>
                </a:gs>
                <a:gs pos="50000">
                  <a:schemeClr val="accent2">
                    <a:shade val="41000"/>
                    <a:satMod val="110000"/>
                    <a:lumMod val="100000"/>
                    <a:shade val="100000"/>
                  </a:schemeClr>
                </a:gs>
                <a:gs pos="100000">
                  <a:schemeClr val="accent2">
                    <a:shade val="41000"/>
                    <a:lumMod val="99000"/>
                    <a:satMod val="120000"/>
                    <a:shade val="78000"/>
                  </a:schemeClr>
                </a:gs>
              </a:gsLst>
              <a:lin ang="5400000" scaled="0"/>
            </a:gradFill>
            <a:ln w="9525">
              <a:solidFill>
                <a:schemeClr val="accent2">
                  <a:shade val="41000"/>
                </a:schemeClr>
              </a:solidFill>
              <a:round/>
            </a:ln>
            <a:effectLst>
              <a:outerShdw blurRad="57150" dist="19050" dir="5400000" algn="ctr" rotWithShape="0">
                <a:srgbClr val="000000">
                  <a:alpha val="63000"/>
                </a:srgbClr>
              </a:outerShdw>
            </a:effectLst>
          </c:spPr>
        </c:marker>
      </c:pivotFmt>
      <c:pivotFmt>
        <c:idx val="3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32"/>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33"/>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34"/>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3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3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37"/>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38"/>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39"/>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4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4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42"/>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43"/>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44"/>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4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4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47"/>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48"/>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49"/>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5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5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52"/>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s>
    <c:plotArea>
      <c:layout/>
      <c:barChart>
        <c:barDir val="col"/>
        <c:grouping val="stacked"/>
        <c:varyColors val="0"/>
        <c:ser>
          <c:idx val="0"/>
          <c:order val="0"/>
          <c:tx>
            <c:strRef>
              <c:f>Summary_4!$B$10:$B$11</c:f>
              <c:strCache>
                <c:ptCount val="1"/>
                <c:pt idx="0">
                  <c:v>0-0.1</c:v>
                </c:pt>
              </c:strCache>
            </c:strRef>
          </c:tx>
          <c:spPr>
            <a:gradFill rotWithShape="1">
              <a:gsLst>
                <a:gs pos="0">
                  <a:schemeClr val="accent2">
                    <a:shade val="41000"/>
                    <a:satMod val="103000"/>
                    <a:lumMod val="102000"/>
                    <a:tint val="94000"/>
                  </a:schemeClr>
                </a:gs>
                <a:gs pos="50000">
                  <a:schemeClr val="accent2">
                    <a:shade val="41000"/>
                    <a:satMod val="110000"/>
                    <a:lumMod val="100000"/>
                    <a:shade val="100000"/>
                  </a:schemeClr>
                </a:gs>
                <a:gs pos="100000">
                  <a:schemeClr val="accent2">
                    <a:shade val="41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Summary_4!$A$12:$A$21</c:f>
              <c:strCache>
                <c:ptCount val="9"/>
                <c:pt idx="0">
                  <c:v>2009</c:v>
                </c:pt>
                <c:pt idx="1">
                  <c:v>2010</c:v>
                </c:pt>
                <c:pt idx="2">
                  <c:v>2011</c:v>
                </c:pt>
                <c:pt idx="3">
                  <c:v>2012</c:v>
                </c:pt>
                <c:pt idx="4">
                  <c:v>2013</c:v>
                </c:pt>
                <c:pt idx="5">
                  <c:v>2014</c:v>
                </c:pt>
                <c:pt idx="6">
                  <c:v>2015</c:v>
                </c:pt>
                <c:pt idx="7">
                  <c:v>2016</c:v>
                </c:pt>
                <c:pt idx="8">
                  <c:v>2017</c:v>
                </c:pt>
              </c:strCache>
            </c:strRef>
          </c:cat>
          <c:val>
            <c:numRef>
              <c:f>Summary_4!$B$12:$B$21</c:f>
              <c:numCache>
                <c:formatCode>General</c:formatCode>
                <c:ptCount val="9"/>
                <c:pt idx="0">
                  <c:v>4</c:v>
                </c:pt>
                <c:pt idx="1">
                  <c:v>10</c:v>
                </c:pt>
                <c:pt idx="2">
                  <c:v>27</c:v>
                </c:pt>
                <c:pt idx="3">
                  <c:v>54</c:v>
                </c:pt>
                <c:pt idx="4">
                  <c:v>54</c:v>
                </c:pt>
                <c:pt idx="5">
                  <c:v>362</c:v>
                </c:pt>
                <c:pt idx="6">
                  <c:v>499</c:v>
                </c:pt>
                <c:pt idx="7">
                  <c:v>337</c:v>
                </c:pt>
                <c:pt idx="8">
                  <c:v>52</c:v>
                </c:pt>
              </c:numCache>
            </c:numRef>
          </c:val>
          <c:extLst>
            <c:ext xmlns:c16="http://schemas.microsoft.com/office/drawing/2014/chart" uri="{C3380CC4-5D6E-409C-BE32-E72D297353CC}">
              <c16:uniqueId val="{00000000-7E57-4920-8BD1-E7358F87A82A}"/>
            </c:ext>
          </c:extLst>
        </c:ser>
        <c:ser>
          <c:idx val="1"/>
          <c:order val="1"/>
          <c:tx>
            <c:strRef>
              <c:f>Summary_4!$C$10:$C$11</c:f>
              <c:strCache>
                <c:ptCount val="1"/>
                <c:pt idx="0">
                  <c:v>0.1-0.2</c:v>
                </c:pt>
              </c:strCache>
            </c:strRef>
          </c:tx>
          <c:spPr>
            <a:gradFill rotWithShape="1">
              <a:gsLst>
                <a:gs pos="0">
                  <a:schemeClr val="accent2">
                    <a:shade val="53000"/>
                    <a:satMod val="103000"/>
                    <a:lumMod val="102000"/>
                    <a:tint val="94000"/>
                  </a:schemeClr>
                </a:gs>
                <a:gs pos="50000">
                  <a:schemeClr val="accent2">
                    <a:shade val="53000"/>
                    <a:satMod val="110000"/>
                    <a:lumMod val="100000"/>
                    <a:shade val="100000"/>
                  </a:schemeClr>
                </a:gs>
                <a:gs pos="100000">
                  <a:schemeClr val="accent2">
                    <a:shade val="53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Summary_4!$A$12:$A$21</c:f>
              <c:strCache>
                <c:ptCount val="9"/>
                <c:pt idx="0">
                  <c:v>2009</c:v>
                </c:pt>
                <c:pt idx="1">
                  <c:v>2010</c:v>
                </c:pt>
                <c:pt idx="2">
                  <c:v>2011</c:v>
                </c:pt>
                <c:pt idx="3">
                  <c:v>2012</c:v>
                </c:pt>
                <c:pt idx="4">
                  <c:v>2013</c:v>
                </c:pt>
                <c:pt idx="5">
                  <c:v>2014</c:v>
                </c:pt>
                <c:pt idx="6">
                  <c:v>2015</c:v>
                </c:pt>
                <c:pt idx="7">
                  <c:v>2016</c:v>
                </c:pt>
                <c:pt idx="8">
                  <c:v>2017</c:v>
                </c:pt>
              </c:strCache>
            </c:strRef>
          </c:cat>
          <c:val>
            <c:numRef>
              <c:f>Summary_4!$C$12:$C$21</c:f>
              <c:numCache>
                <c:formatCode>General</c:formatCode>
                <c:ptCount val="9"/>
                <c:pt idx="1">
                  <c:v>4</c:v>
                </c:pt>
                <c:pt idx="2">
                  <c:v>4</c:v>
                </c:pt>
                <c:pt idx="3">
                  <c:v>4</c:v>
                </c:pt>
                <c:pt idx="4">
                  <c:v>8</c:v>
                </c:pt>
                <c:pt idx="5">
                  <c:v>55</c:v>
                </c:pt>
                <c:pt idx="6">
                  <c:v>56</c:v>
                </c:pt>
                <c:pt idx="7">
                  <c:v>53</c:v>
                </c:pt>
                <c:pt idx="8">
                  <c:v>9</c:v>
                </c:pt>
              </c:numCache>
            </c:numRef>
          </c:val>
          <c:extLst>
            <c:ext xmlns:c16="http://schemas.microsoft.com/office/drawing/2014/chart" uri="{C3380CC4-5D6E-409C-BE32-E72D297353CC}">
              <c16:uniqueId val="{00000001-7E57-4920-8BD1-E7358F87A82A}"/>
            </c:ext>
          </c:extLst>
        </c:ser>
        <c:ser>
          <c:idx val="2"/>
          <c:order val="2"/>
          <c:tx>
            <c:strRef>
              <c:f>Summary_4!$D$10:$D$11</c:f>
              <c:strCache>
                <c:ptCount val="1"/>
                <c:pt idx="0">
                  <c:v>0.2-0.3</c:v>
                </c:pt>
              </c:strCache>
            </c:strRef>
          </c:tx>
          <c:spPr>
            <a:gradFill rotWithShape="1">
              <a:gsLst>
                <a:gs pos="0">
                  <a:schemeClr val="accent2">
                    <a:shade val="65000"/>
                    <a:satMod val="103000"/>
                    <a:lumMod val="102000"/>
                    <a:tint val="94000"/>
                  </a:schemeClr>
                </a:gs>
                <a:gs pos="50000">
                  <a:schemeClr val="accent2">
                    <a:shade val="65000"/>
                    <a:satMod val="110000"/>
                    <a:lumMod val="100000"/>
                    <a:shade val="100000"/>
                  </a:schemeClr>
                </a:gs>
                <a:gs pos="100000">
                  <a:schemeClr val="accent2">
                    <a:shade val="65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Summary_4!$A$12:$A$21</c:f>
              <c:strCache>
                <c:ptCount val="9"/>
                <c:pt idx="0">
                  <c:v>2009</c:v>
                </c:pt>
                <c:pt idx="1">
                  <c:v>2010</c:v>
                </c:pt>
                <c:pt idx="2">
                  <c:v>2011</c:v>
                </c:pt>
                <c:pt idx="3">
                  <c:v>2012</c:v>
                </c:pt>
                <c:pt idx="4">
                  <c:v>2013</c:v>
                </c:pt>
                <c:pt idx="5">
                  <c:v>2014</c:v>
                </c:pt>
                <c:pt idx="6">
                  <c:v>2015</c:v>
                </c:pt>
                <c:pt idx="7">
                  <c:v>2016</c:v>
                </c:pt>
                <c:pt idx="8">
                  <c:v>2017</c:v>
                </c:pt>
              </c:strCache>
            </c:strRef>
          </c:cat>
          <c:val>
            <c:numRef>
              <c:f>Summary_4!$D$12:$D$21</c:f>
              <c:numCache>
                <c:formatCode>General</c:formatCode>
                <c:ptCount val="9"/>
                <c:pt idx="0">
                  <c:v>1</c:v>
                </c:pt>
                <c:pt idx="2">
                  <c:v>2</c:v>
                </c:pt>
                <c:pt idx="3">
                  <c:v>5</c:v>
                </c:pt>
                <c:pt idx="4">
                  <c:v>4</c:v>
                </c:pt>
                <c:pt idx="5">
                  <c:v>39</c:v>
                </c:pt>
                <c:pt idx="6">
                  <c:v>33</c:v>
                </c:pt>
                <c:pt idx="7">
                  <c:v>28</c:v>
                </c:pt>
                <c:pt idx="8">
                  <c:v>11</c:v>
                </c:pt>
              </c:numCache>
            </c:numRef>
          </c:val>
          <c:extLst>
            <c:ext xmlns:c16="http://schemas.microsoft.com/office/drawing/2014/chart" uri="{C3380CC4-5D6E-409C-BE32-E72D297353CC}">
              <c16:uniqueId val="{00000002-7E57-4920-8BD1-E7358F87A82A}"/>
            </c:ext>
          </c:extLst>
        </c:ser>
        <c:ser>
          <c:idx val="3"/>
          <c:order val="3"/>
          <c:tx>
            <c:strRef>
              <c:f>Summary_4!$E$10:$E$11</c:f>
              <c:strCache>
                <c:ptCount val="1"/>
                <c:pt idx="0">
                  <c:v>0.3-0.4</c:v>
                </c:pt>
              </c:strCache>
            </c:strRef>
          </c:tx>
          <c:spPr>
            <a:gradFill rotWithShape="1">
              <a:gsLst>
                <a:gs pos="0">
                  <a:schemeClr val="accent2">
                    <a:shade val="76000"/>
                    <a:satMod val="103000"/>
                    <a:lumMod val="102000"/>
                    <a:tint val="94000"/>
                  </a:schemeClr>
                </a:gs>
                <a:gs pos="50000">
                  <a:schemeClr val="accent2">
                    <a:shade val="76000"/>
                    <a:satMod val="110000"/>
                    <a:lumMod val="100000"/>
                    <a:shade val="100000"/>
                  </a:schemeClr>
                </a:gs>
                <a:gs pos="100000">
                  <a:schemeClr val="accent2">
                    <a:shade val="76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Summary_4!$A$12:$A$21</c:f>
              <c:strCache>
                <c:ptCount val="9"/>
                <c:pt idx="0">
                  <c:v>2009</c:v>
                </c:pt>
                <c:pt idx="1">
                  <c:v>2010</c:v>
                </c:pt>
                <c:pt idx="2">
                  <c:v>2011</c:v>
                </c:pt>
                <c:pt idx="3">
                  <c:v>2012</c:v>
                </c:pt>
                <c:pt idx="4">
                  <c:v>2013</c:v>
                </c:pt>
                <c:pt idx="5">
                  <c:v>2014</c:v>
                </c:pt>
                <c:pt idx="6">
                  <c:v>2015</c:v>
                </c:pt>
                <c:pt idx="7">
                  <c:v>2016</c:v>
                </c:pt>
                <c:pt idx="8">
                  <c:v>2017</c:v>
                </c:pt>
              </c:strCache>
            </c:strRef>
          </c:cat>
          <c:val>
            <c:numRef>
              <c:f>Summary_4!$E$12:$E$21</c:f>
              <c:numCache>
                <c:formatCode>General</c:formatCode>
                <c:ptCount val="9"/>
                <c:pt idx="1">
                  <c:v>1</c:v>
                </c:pt>
                <c:pt idx="2">
                  <c:v>2</c:v>
                </c:pt>
                <c:pt idx="3">
                  <c:v>1</c:v>
                </c:pt>
                <c:pt idx="4">
                  <c:v>3</c:v>
                </c:pt>
                <c:pt idx="5">
                  <c:v>23</c:v>
                </c:pt>
                <c:pt idx="6">
                  <c:v>26</c:v>
                </c:pt>
                <c:pt idx="7">
                  <c:v>19</c:v>
                </c:pt>
                <c:pt idx="8">
                  <c:v>6</c:v>
                </c:pt>
              </c:numCache>
            </c:numRef>
          </c:val>
          <c:extLst>
            <c:ext xmlns:c16="http://schemas.microsoft.com/office/drawing/2014/chart" uri="{C3380CC4-5D6E-409C-BE32-E72D297353CC}">
              <c16:uniqueId val="{00000003-7E57-4920-8BD1-E7358F87A82A}"/>
            </c:ext>
          </c:extLst>
        </c:ser>
        <c:ser>
          <c:idx val="4"/>
          <c:order val="4"/>
          <c:tx>
            <c:strRef>
              <c:f>Summary_4!$F$10:$F$11</c:f>
              <c:strCache>
                <c:ptCount val="1"/>
                <c:pt idx="0">
                  <c:v>0.4-0.5</c:v>
                </c:pt>
              </c:strCache>
            </c:strRef>
          </c:tx>
          <c:spPr>
            <a:gradFill rotWithShape="1">
              <a:gsLst>
                <a:gs pos="0">
                  <a:schemeClr val="accent2">
                    <a:shade val="88000"/>
                    <a:satMod val="103000"/>
                    <a:lumMod val="102000"/>
                    <a:tint val="94000"/>
                  </a:schemeClr>
                </a:gs>
                <a:gs pos="50000">
                  <a:schemeClr val="accent2">
                    <a:shade val="88000"/>
                    <a:satMod val="110000"/>
                    <a:lumMod val="100000"/>
                    <a:shade val="100000"/>
                  </a:schemeClr>
                </a:gs>
                <a:gs pos="100000">
                  <a:schemeClr val="accent2">
                    <a:shade val="88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Summary_4!$A$12:$A$21</c:f>
              <c:strCache>
                <c:ptCount val="9"/>
                <c:pt idx="0">
                  <c:v>2009</c:v>
                </c:pt>
                <c:pt idx="1">
                  <c:v>2010</c:v>
                </c:pt>
                <c:pt idx="2">
                  <c:v>2011</c:v>
                </c:pt>
                <c:pt idx="3">
                  <c:v>2012</c:v>
                </c:pt>
                <c:pt idx="4">
                  <c:v>2013</c:v>
                </c:pt>
                <c:pt idx="5">
                  <c:v>2014</c:v>
                </c:pt>
                <c:pt idx="6">
                  <c:v>2015</c:v>
                </c:pt>
                <c:pt idx="7">
                  <c:v>2016</c:v>
                </c:pt>
                <c:pt idx="8">
                  <c:v>2017</c:v>
                </c:pt>
              </c:strCache>
            </c:strRef>
          </c:cat>
          <c:val>
            <c:numRef>
              <c:f>Summary_4!$F$12:$F$21</c:f>
              <c:numCache>
                <c:formatCode>General</c:formatCode>
                <c:ptCount val="9"/>
                <c:pt idx="1">
                  <c:v>1</c:v>
                </c:pt>
                <c:pt idx="3">
                  <c:v>1</c:v>
                </c:pt>
                <c:pt idx="4">
                  <c:v>3</c:v>
                </c:pt>
                <c:pt idx="5">
                  <c:v>10</c:v>
                </c:pt>
                <c:pt idx="6">
                  <c:v>16</c:v>
                </c:pt>
                <c:pt idx="7">
                  <c:v>12</c:v>
                </c:pt>
                <c:pt idx="8">
                  <c:v>9</c:v>
                </c:pt>
              </c:numCache>
            </c:numRef>
          </c:val>
          <c:extLst>
            <c:ext xmlns:c16="http://schemas.microsoft.com/office/drawing/2014/chart" uri="{C3380CC4-5D6E-409C-BE32-E72D297353CC}">
              <c16:uniqueId val="{00000004-7E57-4920-8BD1-E7358F87A82A}"/>
            </c:ext>
          </c:extLst>
        </c:ser>
        <c:ser>
          <c:idx val="5"/>
          <c:order val="5"/>
          <c:tx>
            <c:strRef>
              <c:f>Summary_4!$G$10:$G$11</c:f>
              <c:strCache>
                <c:ptCount val="1"/>
                <c:pt idx="0">
                  <c:v>0.5-0.6</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Summary_4!$A$12:$A$21</c:f>
              <c:strCache>
                <c:ptCount val="9"/>
                <c:pt idx="0">
                  <c:v>2009</c:v>
                </c:pt>
                <c:pt idx="1">
                  <c:v>2010</c:v>
                </c:pt>
                <c:pt idx="2">
                  <c:v>2011</c:v>
                </c:pt>
                <c:pt idx="3">
                  <c:v>2012</c:v>
                </c:pt>
                <c:pt idx="4">
                  <c:v>2013</c:v>
                </c:pt>
                <c:pt idx="5">
                  <c:v>2014</c:v>
                </c:pt>
                <c:pt idx="6">
                  <c:v>2015</c:v>
                </c:pt>
                <c:pt idx="7">
                  <c:v>2016</c:v>
                </c:pt>
                <c:pt idx="8">
                  <c:v>2017</c:v>
                </c:pt>
              </c:strCache>
            </c:strRef>
          </c:cat>
          <c:val>
            <c:numRef>
              <c:f>Summary_4!$G$12:$G$21</c:f>
              <c:numCache>
                <c:formatCode>General</c:formatCode>
                <c:ptCount val="9"/>
                <c:pt idx="3">
                  <c:v>1</c:v>
                </c:pt>
                <c:pt idx="5">
                  <c:v>6</c:v>
                </c:pt>
                <c:pt idx="6">
                  <c:v>13</c:v>
                </c:pt>
                <c:pt idx="7">
                  <c:v>8</c:v>
                </c:pt>
                <c:pt idx="8">
                  <c:v>2</c:v>
                </c:pt>
              </c:numCache>
            </c:numRef>
          </c:val>
          <c:extLst>
            <c:ext xmlns:c16="http://schemas.microsoft.com/office/drawing/2014/chart" uri="{C3380CC4-5D6E-409C-BE32-E72D297353CC}">
              <c16:uniqueId val="{00000005-7E57-4920-8BD1-E7358F87A82A}"/>
            </c:ext>
          </c:extLst>
        </c:ser>
        <c:ser>
          <c:idx val="6"/>
          <c:order val="6"/>
          <c:tx>
            <c:strRef>
              <c:f>Summary_4!$H$10:$H$11</c:f>
              <c:strCache>
                <c:ptCount val="1"/>
                <c:pt idx="0">
                  <c:v>0.6-0.7</c:v>
                </c:pt>
              </c:strCache>
            </c:strRef>
          </c:tx>
          <c:spPr>
            <a:gradFill rotWithShape="1">
              <a:gsLst>
                <a:gs pos="0">
                  <a:schemeClr val="accent2">
                    <a:tint val="89000"/>
                    <a:satMod val="103000"/>
                    <a:lumMod val="102000"/>
                    <a:tint val="94000"/>
                  </a:schemeClr>
                </a:gs>
                <a:gs pos="50000">
                  <a:schemeClr val="accent2">
                    <a:tint val="89000"/>
                    <a:satMod val="110000"/>
                    <a:lumMod val="100000"/>
                    <a:shade val="100000"/>
                  </a:schemeClr>
                </a:gs>
                <a:gs pos="100000">
                  <a:schemeClr val="accent2">
                    <a:tint val="89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Summary_4!$A$12:$A$21</c:f>
              <c:strCache>
                <c:ptCount val="9"/>
                <c:pt idx="0">
                  <c:v>2009</c:v>
                </c:pt>
                <c:pt idx="1">
                  <c:v>2010</c:v>
                </c:pt>
                <c:pt idx="2">
                  <c:v>2011</c:v>
                </c:pt>
                <c:pt idx="3">
                  <c:v>2012</c:v>
                </c:pt>
                <c:pt idx="4">
                  <c:v>2013</c:v>
                </c:pt>
                <c:pt idx="5">
                  <c:v>2014</c:v>
                </c:pt>
                <c:pt idx="6">
                  <c:v>2015</c:v>
                </c:pt>
                <c:pt idx="7">
                  <c:v>2016</c:v>
                </c:pt>
                <c:pt idx="8">
                  <c:v>2017</c:v>
                </c:pt>
              </c:strCache>
            </c:strRef>
          </c:cat>
          <c:val>
            <c:numRef>
              <c:f>Summary_4!$H$12:$H$21</c:f>
              <c:numCache>
                <c:formatCode>General</c:formatCode>
                <c:ptCount val="9"/>
                <c:pt idx="4">
                  <c:v>1</c:v>
                </c:pt>
                <c:pt idx="5">
                  <c:v>5</c:v>
                </c:pt>
                <c:pt idx="6">
                  <c:v>9</c:v>
                </c:pt>
                <c:pt idx="7">
                  <c:v>5</c:v>
                </c:pt>
              </c:numCache>
            </c:numRef>
          </c:val>
          <c:extLst>
            <c:ext xmlns:c16="http://schemas.microsoft.com/office/drawing/2014/chart" uri="{C3380CC4-5D6E-409C-BE32-E72D297353CC}">
              <c16:uniqueId val="{00000006-7E57-4920-8BD1-E7358F87A82A}"/>
            </c:ext>
          </c:extLst>
        </c:ser>
        <c:ser>
          <c:idx val="7"/>
          <c:order val="7"/>
          <c:tx>
            <c:strRef>
              <c:f>Summary_4!$I$10:$I$11</c:f>
              <c:strCache>
                <c:ptCount val="1"/>
                <c:pt idx="0">
                  <c:v>0.7-0.8</c:v>
                </c:pt>
              </c:strCache>
            </c:strRef>
          </c:tx>
          <c:spPr>
            <a:gradFill rotWithShape="1">
              <a:gsLst>
                <a:gs pos="0">
                  <a:schemeClr val="accent2">
                    <a:tint val="77000"/>
                    <a:satMod val="103000"/>
                    <a:lumMod val="102000"/>
                    <a:tint val="94000"/>
                  </a:schemeClr>
                </a:gs>
                <a:gs pos="50000">
                  <a:schemeClr val="accent2">
                    <a:tint val="77000"/>
                    <a:satMod val="110000"/>
                    <a:lumMod val="100000"/>
                    <a:shade val="100000"/>
                  </a:schemeClr>
                </a:gs>
                <a:gs pos="100000">
                  <a:schemeClr val="accent2">
                    <a:tint val="77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Summary_4!$A$12:$A$21</c:f>
              <c:strCache>
                <c:ptCount val="9"/>
                <c:pt idx="0">
                  <c:v>2009</c:v>
                </c:pt>
                <c:pt idx="1">
                  <c:v>2010</c:v>
                </c:pt>
                <c:pt idx="2">
                  <c:v>2011</c:v>
                </c:pt>
                <c:pt idx="3">
                  <c:v>2012</c:v>
                </c:pt>
                <c:pt idx="4">
                  <c:v>2013</c:v>
                </c:pt>
                <c:pt idx="5">
                  <c:v>2014</c:v>
                </c:pt>
                <c:pt idx="6">
                  <c:v>2015</c:v>
                </c:pt>
                <c:pt idx="7">
                  <c:v>2016</c:v>
                </c:pt>
                <c:pt idx="8">
                  <c:v>2017</c:v>
                </c:pt>
              </c:strCache>
            </c:strRef>
          </c:cat>
          <c:val>
            <c:numRef>
              <c:f>Summary_4!$I$12:$I$21</c:f>
              <c:numCache>
                <c:formatCode>General</c:formatCode>
                <c:ptCount val="9"/>
                <c:pt idx="5">
                  <c:v>2</c:v>
                </c:pt>
                <c:pt idx="6">
                  <c:v>3</c:v>
                </c:pt>
                <c:pt idx="7">
                  <c:v>5</c:v>
                </c:pt>
                <c:pt idx="8">
                  <c:v>1</c:v>
                </c:pt>
              </c:numCache>
            </c:numRef>
          </c:val>
          <c:extLst>
            <c:ext xmlns:c16="http://schemas.microsoft.com/office/drawing/2014/chart" uri="{C3380CC4-5D6E-409C-BE32-E72D297353CC}">
              <c16:uniqueId val="{00000007-7E57-4920-8BD1-E7358F87A82A}"/>
            </c:ext>
          </c:extLst>
        </c:ser>
        <c:ser>
          <c:idx val="8"/>
          <c:order val="8"/>
          <c:tx>
            <c:strRef>
              <c:f>Summary_4!$J$10:$J$11</c:f>
              <c:strCache>
                <c:ptCount val="1"/>
                <c:pt idx="0">
                  <c:v>0.8-0.9</c:v>
                </c:pt>
              </c:strCache>
            </c:strRef>
          </c:tx>
          <c:spPr>
            <a:gradFill rotWithShape="1">
              <a:gsLst>
                <a:gs pos="0">
                  <a:schemeClr val="accent2">
                    <a:tint val="65000"/>
                    <a:satMod val="103000"/>
                    <a:lumMod val="102000"/>
                    <a:tint val="94000"/>
                  </a:schemeClr>
                </a:gs>
                <a:gs pos="50000">
                  <a:schemeClr val="accent2">
                    <a:tint val="65000"/>
                    <a:satMod val="110000"/>
                    <a:lumMod val="100000"/>
                    <a:shade val="100000"/>
                  </a:schemeClr>
                </a:gs>
                <a:gs pos="100000">
                  <a:schemeClr val="accent2">
                    <a:tint val="65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Summary_4!$A$12:$A$21</c:f>
              <c:strCache>
                <c:ptCount val="9"/>
                <c:pt idx="0">
                  <c:v>2009</c:v>
                </c:pt>
                <c:pt idx="1">
                  <c:v>2010</c:v>
                </c:pt>
                <c:pt idx="2">
                  <c:v>2011</c:v>
                </c:pt>
                <c:pt idx="3">
                  <c:v>2012</c:v>
                </c:pt>
                <c:pt idx="4">
                  <c:v>2013</c:v>
                </c:pt>
                <c:pt idx="5">
                  <c:v>2014</c:v>
                </c:pt>
                <c:pt idx="6">
                  <c:v>2015</c:v>
                </c:pt>
                <c:pt idx="7">
                  <c:v>2016</c:v>
                </c:pt>
                <c:pt idx="8">
                  <c:v>2017</c:v>
                </c:pt>
              </c:strCache>
            </c:strRef>
          </c:cat>
          <c:val>
            <c:numRef>
              <c:f>Summary_4!$J$12:$J$21</c:f>
              <c:numCache>
                <c:formatCode>General</c:formatCode>
                <c:ptCount val="9"/>
                <c:pt idx="4">
                  <c:v>1</c:v>
                </c:pt>
                <c:pt idx="5">
                  <c:v>1</c:v>
                </c:pt>
                <c:pt idx="6">
                  <c:v>1</c:v>
                </c:pt>
                <c:pt idx="7">
                  <c:v>3</c:v>
                </c:pt>
              </c:numCache>
            </c:numRef>
          </c:val>
          <c:extLst>
            <c:ext xmlns:c16="http://schemas.microsoft.com/office/drawing/2014/chart" uri="{C3380CC4-5D6E-409C-BE32-E72D297353CC}">
              <c16:uniqueId val="{00000008-7E57-4920-8BD1-E7358F87A82A}"/>
            </c:ext>
          </c:extLst>
        </c:ser>
        <c:ser>
          <c:idx val="9"/>
          <c:order val="9"/>
          <c:tx>
            <c:strRef>
              <c:f>Summary_4!$K$10:$K$11</c:f>
              <c:strCache>
                <c:ptCount val="1"/>
                <c:pt idx="0">
                  <c:v>0.9-1</c:v>
                </c:pt>
              </c:strCache>
            </c:strRef>
          </c:tx>
          <c:spPr>
            <a:gradFill rotWithShape="1">
              <a:gsLst>
                <a:gs pos="0">
                  <a:schemeClr val="accent2">
                    <a:tint val="54000"/>
                    <a:satMod val="103000"/>
                    <a:lumMod val="102000"/>
                    <a:tint val="94000"/>
                  </a:schemeClr>
                </a:gs>
                <a:gs pos="50000">
                  <a:schemeClr val="accent2">
                    <a:tint val="54000"/>
                    <a:satMod val="110000"/>
                    <a:lumMod val="100000"/>
                    <a:shade val="100000"/>
                  </a:schemeClr>
                </a:gs>
                <a:gs pos="100000">
                  <a:schemeClr val="accent2">
                    <a:tint val="54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Summary_4!$A$12:$A$21</c:f>
              <c:strCache>
                <c:ptCount val="9"/>
                <c:pt idx="0">
                  <c:v>2009</c:v>
                </c:pt>
                <c:pt idx="1">
                  <c:v>2010</c:v>
                </c:pt>
                <c:pt idx="2">
                  <c:v>2011</c:v>
                </c:pt>
                <c:pt idx="3">
                  <c:v>2012</c:v>
                </c:pt>
                <c:pt idx="4">
                  <c:v>2013</c:v>
                </c:pt>
                <c:pt idx="5">
                  <c:v>2014</c:v>
                </c:pt>
                <c:pt idx="6">
                  <c:v>2015</c:v>
                </c:pt>
                <c:pt idx="7">
                  <c:v>2016</c:v>
                </c:pt>
                <c:pt idx="8">
                  <c:v>2017</c:v>
                </c:pt>
              </c:strCache>
            </c:strRef>
          </c:cat>
          <c:val>
            <c:numRef>
              <c:f>Summary_4!$K$12:$K$21</c:f>
              <c:numCache>
                <c:formatCode>General</c:formatCode>
                <c:ptCount val="9"/>
                <c:pt idx="1">
                  <c:v>1</c:v>
                </c:pt>
                <c:pt idx="2">
                  <c:v>7</c:v>
                </c:pt>
                <c:pt idx="3">
                  <c:v>5</c:v>
                </c:pt>
                <c:pt idx="4">
                  <c:v>5</c:v>
                </c:pt>
                <c:pt idx="5">
                  <c:v>24</c:v>
                </c:pt>
                <c:pt idx="6">
                  <c:v>32</c:v>
                </c:pt>
                <c:pt idx="7">
                  <c:v>25</c:v>
                </c:pt>
                <c:pt idx="8">
                  <c:v>3</c:v>
                </c:pt>
              </c:numCache>
            </c:numRef>
          </c:val>
          <c:extLst>
            <c:ext xmlns:c16="http://schemas.microsoft.com/office/drawing/2014/chart" uri="{C3380CC4-5D6E-409C-BE32-E72D297353CC}">
              <c16:uniqueId val="{00000009-7E57-4920-8BD1-E7358F87A82A}"/>
            </c:ext>
          </c:extLst>
        </c:ser>
        <c:ser>
          <c:idx val="10"/>
          <c:order val="10"/>
          <c:tx>
            <c:strRef>
              <c:f>Summary_4!$L$10:$L$11</c:f>
              <c:strCache>
                <c:ptCount val="1"/>
                <c:pt idx="0">
                  <c:v>&gt;1</c:v>
                </c:pt>
              </c:strCache>
            </c:strRef>
          </c:tx>
          <c:spPr>
            <a:gradFill rotWithShape="1">
              <a:gsLst>
                <a:gs pos="0">
                  <a:schemeClr val="accent2">
                    <a:tint val="42000"/>
                    <a:satMod val="103000"/>
                    <a:lumMod val="102000"/>
                    <a:tint val="94000"/>
                  </a:schemeClr>
                </a:gs>
                <a:gs pos="50000">
                  <a:schemeClr val="accent2">
                    <a:tint val="42000"/>
                    <a:satMod val="110000"/>
                    <a:lumMod val="100000"/>
                    <a:shade val="100000"/>
                  </a:schemeClr>
                </a:gs>
                <a:gs pos="100000">
                  <a:schemeClr val="accent2">
                    <a:tint val="42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Summary_4!$A$12:$A$21</c:f>
              <c:strCache>
                <c:ptCount val="9"/>
                <c:pt idx="0">
                  <c:v>2009</c:v>
                </c:pt>
                <c:pt idx="1">
                  <c:v>2010</c:v>
                </c:pt>
                <c:pt idx="2">
                  <c:v>2011</c:v>
                </c:pt>
                <c:pt idx="3">
                  <c:v>2012</c:v>
                </c:pt>
                <c:pt idx="4">
                  <c:v>2013</c:v>
                </c:pt>
                <c:pt idx="5">
                  <c:v>2014</c:v>
                </c:pt>
                <c:pt idx="6">
                  <c:v>2015</c:v>
                </c:pt>
                <c:pt idx="7">
                  <c:v>2016</c:v>
                </c:pt>
                <c:pt idx="8">
                  <c:v>2017</c:v>
                </c:pt>
              </c:strCache>
            </c:strRef>
          </c:cat>
          <c:val>
            <c:numRef>
              <c:f>Summary_4!$L$12:$L$21</c:f>
              <c:numCache>
                <c:formatCode>General</c:formatCode>
                <c:ptCount val="9"/>
                <c:pt idx="0">
                  <c:v>9</c:v>
                </c:pt>
                <c:pt idx="1">
                  <c:v>48</c:v>
                </c:pt>
                <c:pt idx="2">
                  <c:v>129</c:v>
                </c:pt>
                <c:pt idx="3">
                  <c:v>211</c:v>
                </c:pt>
                <c:pt idx="4">
                  <c:v>195</c:v>
                </c:pt>
                <c:pt idx="5">
                  <c:v>450</c:v>
                </c:pt>
                <c:pt idx="6">
                  <c:v>537</c:v>
                </c:pt>
                <c:pt idx="7">
                  <c:v>454</c:v>
                </c:pt>
                <c:pt idx="8">
                  <c:v>64</c:v>
                </c:pt>
              </c:numCache>
            </c:numRef>
          </c:val>
          <c:extLst>
            <c:ext xmlns:c16="http://schemas.microsoft.com/office/drawing/2014/chart" uri="{C3380CC4-5D6E-409C-BE32-E72D297353CC}">
              <c16:uniqueId val="{0000000A-7E57-4920-8BD1-E7358F87A82A}"/>
            </c:ext>
          </c:extLst>
        </c:ser>
        <c:dLbls>
          <c:showLegendKey val="0"/>
          <c:showVal val="0"/>
          <c:showCatName val="0"/>
          <c:showSerName val="0"/>
          <c:showPercent val="0"/>
          <c:showBubbleSize val="0"/>
        </c:dLbls>
        <c:gapWidth val="150"/>
        <c:overlap val="100"/>
        <c:axId val="1040478056"/>
        <c:axId val="1143692968"/>
      </c:barChart>
      <c:catAx>
        <c:axId val="1040478056"/>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3692968"/>
        <c:crosses val="autoZero"/>
        <c:auto val="1"/>
        <c:lblAlgn val="ctr"/>
        <c:lblOffset val="100"/>
        <c:noMultiLvlLbl val="0"/>
      </c:catAx>
      <c:valAx>
        <c:axId val="1143692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04780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4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1615</TotalTime>
  <Pages>4</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Levine</dc:creator>
  <cp:keywords/>
  <dc:description/>
  <cp:lastModifiedBy>Mark Levine</cp:lastModifiedBy>
  <cp:revision>5</cp:revision>
  <dcterms:created xsi:type="dcterms:W3CDTF">2018-07-26T19:25:00Z</dcterms:created>
  <dcterms:modified xsi:type="dcterms:W3CDTF">2018-07-30T20:36:00Z</dcterms:modified>
</cp:coreProperties>
</file>