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2026066609　　　　　　　　　　　　　　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伴学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p w14:paraId="387A45D8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宋凌予、党孚嘉、李昱磊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V1.0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001C671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30EFD9F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2026年4月25日</w:t>
      </w:r>
      <w:bookmarkStart w:id="62" w:name="_GoBack"/>
      <w:bookmarkEnd w:id="62"/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607E0528">
      <w:pPr>
        <w:widowControl/>
        <w:ind w:firstLine="0"/>
        <w:jc w:val="left"/>
      </w:pPr>
      <w:r>
        <w:br w:type="page"/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</w:pPr>
      <w:bookmarkStart w:id="0" w:name="_Toc1398"/>
      <w:r>
        <w:rPr>
          <w:rFonts w:ascii="Arial Unicode MS" w:hAnsi="Arial Unicode MS" w:eastAsia="Arial Unicode MS" w:cs="Arial Unicode MS"/>
          <w:rtl w:val="0"/>
        </w:rPr>
        <w:t>项目中涉及应用人工智能大模型的内容说明</w:t>
      </w:r>
      <w:bookmarkEnd w:id="0"/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</w:pPr>
      <w:bookmarkStart w:id="1" w:name="_Toc25225"/>
      <w:r>
        <w:rPr>
          <w:rFonts w:ascii="Arial Unicode MS" w:hAnsi="Arial Unicode MS" w:eastAsia="Arial Unicode MS" w:cs="Arial Unicode MS"/>
          <w:rtl w:val="0"/>
        </w:rPr>
        <w:t>（1）AI 使用说明</w:t>
      </w:r>
      <w:bookmarkEnd w:id="1"/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使用模型/工具：</w:t>
      </w:r>
      <w:r>
        <w:rPr>
          <w:rFonts w:ascii="Arial Unicode MS" w:hAnsi="Arial Unicode MS" w:eastAsia="Arial Unicode MS" w:cs="Arial Unicode MS"/>
          <w:rtl w:val="0"/>
        </w:rPr>
        <w:t xml:space="preserve"> 系统底层通过 FastAPI 的适配层（Adapter）动态接入主流大语言模型（LLM）的 API。在架构设计与开发阶段，团队借助了代码辅助大模型完成部分核心业务逻辑校验（如 Canvas 缩放平移算法）。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应用环节：</w:t>
      </w:r>
    </w:p>
    <w:p w14:paraId="0000000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智能交互与问答：</w:t>
      </w:r>
      <w:r>
        <w:rPr>
          <w:rFonts w:ascii="Arial Unicode MS" w:hAnsi="Arial Unicode MS" w:eastAsia="Arial Unicode MS" w:cs="Arial Unicode MS"/>
          <w:rtl w:val="0"/>
        </w:rPr>
        <w:t xml:space="preserve"> 结合分层 RAG（检索增强生成）技术，在解答集成电路等高严谨度学科问题时，优先利用文档级上下文。</w:t>
      </w:r>
    </w:p>
    <w:p w14:paraId="0000000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方法论驱动（Skill层）：</w:t>
      </w:r>
      <w:r>
        <w:rPr>
          <w:rFonts w:ascii="Arial Unicode MS" w:hAnsi="Arial Unicode MS" w:eastAsia="Arial Unicode MS" w:cs="Arial Unicode MS"/>
          <w:rtl w:val="0"/>
        </w:rPr>
        <w:t xml:space="preserve"> 允许用户配置特定的 Prompt 模板执行链（如：费曼技巧、康奈尔笔记法），使 AI 充当虚拟提问者或总结者。</w:t>
      </w:r>
    </w:p>
    <w:p w14:paraId="0000000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多智能体调度（AgentCouncil）：</w:t>
      </w:r>
      <w:r>
        <w:rPr>
          <w:rFonts w:ascii="Arial Unicode MS" w:hAnsi="Arial Unicode MS" w:eastAsia="Arial Unicode MS" w:cs="Arial Unicode MS"/>
          <w:rtl w:val="0"/>
        </w:rPr>
        <w:t xml:space="preserve"> 构建议事会机制，通过分析用户的错题率和专注度，进行自适应的日程规划修改与干预。</w:t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内容结构化与润色：</w:t>
      </w:r>
      <w:r>
        <w:rPr>
          <w:rFonts w:ascii="Arial Unicode MS" w:hAnsi="Arial Unicode MS" w:eastAsia="Arial Unicode MS" w:cs="Arial Unicode MS"/>
          <w:rtl w:val="0"/>
        </w:rPr>
        <w:t xml:space="preserve"> 针对 OCR 识别出的散乱笔记，AI 会进行语义分析并提取具有层级的思维导图大纲。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把关与验证：</w:t>
      </w:r>
      <w:r>
        <w:rPr>
          <w:rFonts w:ascii="Arial Unicode MS" w:hAnsi="Arial Unicode MS" w:eastAsia="Arial Unicode MS" w:cs="Arial Unicode MS"/>
          <w:rtl w:val="0"/>
        </w:rPr>
        <w:t xml:space="preserve"> 系统坚守“工具解耦与用户控制”原则。针对大模型易出现的幻觉问题，特别引入 RAG 的 Strict（严格）模式，强制 AI 在未匹配到本地教材知识点时明确提示“无法找到”，拒绝虚构内容；且生成的测验、图表均可由人工二次富文本编辑。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bookmarkStart w:id="2" w:name="_Toc18025"/>
      <w:r>
        <w:rPr>
          <w:rFonts w:ascii="Arial Unicode MS" w:hAnsi="Arial Unicode MS" w:eastAsia="Arial Unicode MS" w:cs="Arial Unicode MS"/>
          <w:rtl w:val="0"/>
        </w:rPr>
        <w:t>（2）关键提示词与输出样例</w:t>
      </w:r>
      <w:bookmarkEnd w:id="2"/>
    </w:p>
    <w:tbl>
      <w:tblPr>
        <w:tblStyle w:val="3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BF271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场景模块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系统核心 Prompt 逻辑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AI 输出响应样例（摘要）</w:t>
            </w:r>
          </w:p>
        </w:tc>
      </w:tr>
      <w:tr w14:paraId="02188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Skill 驱动：主题复习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“采用费曼技巧，结合用户上传的‘芯片制造基础’，扮演一位大一新生，就‘中国芯’发展中的技术韧性向我提问，引导我讲解。”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“你好！我对半导体还是个门外汉。学长，听说‘中国芯’的发展非常有韧性，你能用最简单的例子给我解释一下，这种韧性在突破制程封锁时具体是怎么体现的吗？”</w:t>
            </w:r>
          </w:p>
        </w:tc>
      </w:tr>
      <w:tr w14:paraId="3C507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Agent 议事会：状态调控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“[System Input] 监测到用户今日数字电路习题正确率低于60%，触发 Medium 级别负反馈。要求班主任 Agent 重排明日复习日历。”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“[Action: Update Calendar] 检测到 CMOS 逻辑门模块存在薄弱点。已将明日 09:00-10:00 的自由阅读时间替换为【数字电路专项：错题溯源与强化训练】。”</w:t>
            </w:r>
          </w:p>
        </w:tc>
      </w:tr>
    </w:tbl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bookmarkStart w:id="3" w:name="_Toc29870"/>
      <w:r>
        <w:rPr>
          <w:rFonts w:ascii="Arial Unicode MS" w:hAnsi="Arial Unicode MS" w:eastAsia="Arial Unicode MS" w:cs="Arial Unicode MS"/>
          <w:rtl w:val="0"/>
        </w:rPr>
        <w:t>（3）版权说明</w:t>
      </w:r>
      <w:bookmarkEnd w:id="3"/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Fonts w:ascii="Arial Unicode MS" w:hAnsi="Arial Unicode MS" w:eastAsia="Arial Unicode MS" w:cs="Arial Unicode MS"/>
          <w:rtl w:val="0"/>
        </w:rPr>
        <w:t>本项目为自主研发设计，底层及跨端架构遵循 MIT 开源协议。所有测试与演示环节中使用的文献、图片等资料仅作学术与比赛展示用途，大模型调用均采用合规 API，无商业侵权风险。</w:t>
      </w:r>
    </w:p>
    <w:p w14:paraId="4C9C714A">
      <w:pPr>
        <w:widowControl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581285B7">
      <w:pPr>
        <w:widowControl/>
        <w:jc w:val="left"/>
      </w:pPr>
    </w:p>
    <w:p w14:paraId="57D99431">
      <w:pPr>
        <w:jc w:val="center"/>
        <w:rPr>
          <w:sz w:val="32"/>
          <w:szCs w:val="32"/>
        </w:rPr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34B52689">
      <w:pPr>
        <w:pStyle w:val="9"/>
        <w:tabs>
          <w:tab w:val="right" w:leader="dot" w:pos="8312"/>
        </w:tabs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</w:p>
    <w:p w14:paraId="0FC3CF0F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_Toc15010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第一章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_Toc15010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499F111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_Toc6962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1.1 项目背景与政策契合度</w:t>
      </w:r>
      <w:r>
        <w:tab/>
      </w:r>
      <w:r>
        <w:fldChar w:fldCharType="begin"/>
      </w:r>
      <w:r>
        <w:instrText xml:space="preserve"> PAGEREF _Toc6962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CAB5A6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_Toc13358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1.2 目标用户分析与痛点识别</w:t>
      </w:r>
      <w:r>
        <w:tab/>
      </w:r>
      <w:r>
        <w:fldChar w:fldCharType="begin"/>
      </w:r>
      <w:r>
        <w:instrText xml:space="preserve"> PAGEREF _Toc13358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05A939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_Toc868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1.3 核心功能需求</w:t>
      </w:r>
      <w:r>
        <w:tab/>
      </w:r>
      <w:r>
        <w:fldChar w:fldCharType="begin"/>
      </w:r>
      <w:r>
        <w:instrText xml:space="preserve"> PAGEREF _Toc868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FE72CA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_Toc10421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1.4 非功能性需求</w:t>
      </w:r>
      <w:r>
        <w:tab/>
      </w:r>
      <w:r>
        <w:fldChar w:fldCharType="begin"/>
      </w:r>
      <w:r>
        <w:instrText xml:space="preserve"> PAGEREF _Toc10421 \h </w:instrText>
      </w:r>
      <w:r>
        <w:fldChar w:fldCharType="separate"/>
      </w:r>
      <w:r>
        <w:t>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4B123B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_Toc7063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1.5 竞品对比与差异化价值</w:t>
      </w:r>
      <w:r>
        <w:tab/>
      </w:r>
      <w:r>
        <w:fldChar w:fldCharType="begin"/>
      </w:r>
      <w:r>
        <w:instrText xml:space="preserve"> PAGEREF _Toc7063 \h </w:instrText>
      </w:r>
      <w:r>
        <w:fldChar w:fldCharType="separate"/>
      </w:r>
      <w:r>
        <w:t>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802A8DF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_Toc1885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第二章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_Toc1885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7A7CD85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_Toc28662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2.1 设计理念与架构范式</w:t>
      </w:r>
      <w:r>
        <w:tab/>
      </w:r>
      <w:r>
        <w:fldChar w:fldCharType="begin"/>
      </w:r>
      <w:r>
        <w:instrText xml:space="preserve"> PAGEREF _Toc28662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05407C7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_Toc1757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2.2 系统整体架构图</w:t>
      </w:r>
      <w:r>
        <w:tab/>
      </w:r>
      <w:r>
        <w:fldChar w:fldCharType="begin"/>
      </w:r>
      <w:r>
        <w:instrText xml:space="preserve"> PAGEREF _Toc1757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110723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_Toc4806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2.3 多智能体议事会 (Multi-Agent Council) 模型</w:t>
      </w:r>
      <w:r>
        <w:tab/>
      </w:r>
      <w:r>
        <w:fldChar w:fldCharType="begin"/>
      </w:r>
      <w:r>
        <w:instrText xml:space="preserve"> PAGEREF _Toc4806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36536EC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_Toc29987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2.4 数据流向与状态管理</w:t>
      </w:r>
      <w:r>
        <w:tab/>
      </w:r>
      <w:r>
        <w:fldChar w:fldCharType="begin"/>
      </w:r>
      <w:r>
        <w:instrText xml:space="preserve"> PAGEREF _Toc29987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EC441C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_Toc5108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2.5 技术栈选型理由</w:t>
      </w:r>
      <w:r>
        <w:tab/>
      </w:r>
      <w:r>
        <w:fldChar w:fldCharType="begin"/>
      </w:r>
      <w:r>
        <w:instrText xml:space="preserve"> PAGEREF _Toc5108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90F8EB2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_Toc7483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第三章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_Toc7483 \h </w:instrText>
      </w:r>
      <w:r>
        <w:fldChar w:fldCharType="separate"/>
      </w:r>
      <w:r>
        <w:t>9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7824529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_Toc27108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3.1 智能问答与分层 RAG 检索管线</w:t>
      </w:r>
      <w:r>
        <w:tab/>
      </w:r>
      <w:r>
        <w:fldChar w:fldCharType="begin"/>
      </w:r>
      <w:r>
        <w:instrText xml:space="preserve"> PAGEREF _Toc27108 \h </w:instrText>
      </w:r>
      <w:r>
        <w:fldChar w:fldCharType="separate"/>
      </w:r>
      <w:r>
        <w:t>9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482F24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_Toc15706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3.2 多智能体议事会 (Agent Council) 运行机制</w:t>
      </w:r>
      <w:r>
        <w:tab/>
      </w:r>
      <w:r>
        <w:fldChar w:fldCharType="begin"/>
      </w:r>
      <w:r>
        <w:instrText xml:space="preserve"> PAGEREF _Toc15706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66ABF95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_Toc32216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3.3 原生思维导图渲染引擎 (MindMap Engine)</w:t>
      </w:r>
      <w:r>
        <w:tab/>
      </w:r>
      <w:r>
        <w:fldChar w:fldCharType="begin"/>
      </w:r>
      <w:r>
        <w:instrText xml:space="preserve"> PAGEREF _Toc32216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57E2509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_Toc5679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3.4 学术级文档自动化导出技术</w:t>
      </w:r>
      <w:r>
        <w:tab/>
      </w:r>
      <w:r>
        <w:fldChar w:fldCharType="begin"/>
      </w:r>
      <w:r>
        <w:instrText xml:space="preserve"> PAGEREF _Toc5679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9E06342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_Toc24678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第四章 </w:t>
      </w:r>
      <w:r>
        <w:rPr>
          <w:rFonts w:hint="eastAsia"/>
        </w:rPr>
        <w:t>测试报告</w:t>
      </w:r>
      <w:r>
        <w:tab/>
      </w:r>
      <w:r>
        <w:fldChar w:fldCharType="begin"/>
      </w:r>
      <w:r>
        <w:instrText xml:space="preserve"> PAGEREF _Toc24678 \h </w:instrText>
      </w:r>
      <w:r>
        <w:fldChar w:fldCharType="separate"/>
      </w:r>
      <w:r>
        <w:t>11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88295E7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_Toc9717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4.1 核心算法与 AI 模型测试</w:t>
      </w:r>
      <w:r>
        <w:tab/>
      </w:r>
      <w:r>
        <w:fldChar w:fldCharType="begin"/>
      </w:r>
      <w:r>
        <w:instrText xml:space="preserve"> PAGEREF _Toc9717 \h </w:instrText>
      </w:r>
      <w:r>
        <w:fldChar w:fldCharType="separate"/>
      </w:r>
      <w:r>
        <w:t>11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5FEBF2B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_Toc3806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4.2 性能与并发交互测试</w:t>
      </w:r>
      <w:r>
        <w:tab/>
      </w:r>
      <w:r>
        <w:fldChar w:fldCharType="begin"/>
      </w:r>
      <w:r>
        <w:instrText xml:space="preserve"> PAGEREF _Toc3806 \h </w:instrText>
      </w:r>
      <w:r>
        <w:fldChar w:fldCharType="separate"/>
      </w:r>
      <w:r>
        <w:t>12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9876AE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_Toc29911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4.3 多端兼容性与 UI 适配测试</w:t>
      </w:r>
      <w:r>
        <w:tab/>
      </w:r>
      <w:r>
        <w:fldChar w:fldCharType="begin"/>
      </w:r>
      <w:r>
        <w:instrText xml:space="preserve"> PAGEREF _Toc29911 \h </w:instrText>
      </w:r>
      <w:r>
        <w:fldChar w:fldCharType="separate"/>
      </w:r>
      <w:r>
        <w:t>12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0D8750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_Toc14469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4.4 状态隔离与内存泄漏测试</w:t>
      </w:r>
      <w:r>
        <w:tab/>
      </w:r>
      <w:r>
        <w:fldChar w:fldCharType="begin"/>
      </w:r>
      <w:r>
        <w:instrText xml:space="preserve"> PAGEREF _Toc14469 \h </w:instrText>
      </w:r>
      <w:r>
        <w:fldChar w:fldCharType="separate"/>
      </w:r>
      <w:r>
        <w:t>13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1EBB9C39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_Toc17823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第五章 </w:t>
      </w:r>
      <w:r>
        <w:rPr>
          <w:rFonts w:hint="eastAsia"/>
        </w:rPr>
        <w:t>安装及使用</w:t>
      </w:r>
      <w:r>
        <w:tab/>
      </w:r>
      <w:r>
        <w:fldChar w:fldCharType="begin"/>
      </w:r>
      <w:r>
        <w:instrText xml:space="preserve"> PAGEREF _Toc17823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5BE0BEC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_Toc11029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5.1 运行环境要求</w:t>
      </w:r>
      <w:r>
        <w:tab/>
      </w:r>
      <w:r>
        <w:fldChar w:fldCharType="begin"/>
      </w:r>
      <w:r>
        <w:instrText xml:space="preserve"> PAGEREF _Toc11029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A035A53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_Toc21714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5.2 后端服务部署</w:t>
      </w:r>
      <w:r>
        <w:tab/>
      </w:r>
      <w:r>
        <w:fldChar w:fldCharType="begin"/>
      </w:r>
      <w:r>
        <w:instrText xml:space="preserve"> PAGEREF _Toc21714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431691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_Toc2027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5.3 客户端编译与运行</w:t>
      </w:r>
      <w:r>
        <w:tab/>
      </w:r>
      <w:r>
        <w:fldChar w:fldCharType="begin"/>
      </w:r>
      <w:r>
        <w:instrText xml:space="preserve"> PAGEREF _Toc2027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F0582E8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_Toc24991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5.4 典型使用指南</w:t>
      </w:r>
      <w:r>
        <w:tab/>
      </w:r>
      <w:r>
        <w:fldChar w:fldCharType="begin"/>
      </w:r>
      <w:r>
        <w:instrText xml:space="preserve"> PAGEREF _Toc24991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18E8C9B1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_Toc12214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第六章 </w:t>
      </w:r>
      <w:r>
        <w:rPr>
          <w:rFonts w:hint="eastAsia"/>
        </w:rPr>
        <w:t>项目总结</w:t>
      </w:r>
      <w:r>
        <w:tab/>
      </w:r>
      <w:r>
        <w:fldChar w:fldCharType="begin"/>
      </w:r>
      <w:r>
        <w:instrText xml:space="preserve"> PAGEREF _Toc12214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4FACA5C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_Toc22346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6.1 作品特色与创新点</w:t>
      </w:r>
      <w:r>
        <w:tab/>
      </w:r>
      <w:r>
        <w:fldChar w:fldCharType="begin"/>
      </w:r>
      <w:r>
        <w:instrText xml:space="preserve"> PAGEREF _Toc22346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14ED726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6.2 关键技术攻坚</w:t>
      </w:r>
      <w:r>
        <w:tab/>
      </w:r>
      <w:r>
        <w:fldChar w:fldCharType="begin"/>
      </w:r>
      <w:r>
        <w:instrText xml:space="preserve"> PAGEREF _Toc179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762AA8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_Toc25343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6.3 个人与团队提升</w:t>
      </w:r>
      <w:r>
        <w:tab/>
      </w:r>
      <w:r>
        <w:fldChar w:fldCharType="begin"/>
      </w:r>
      <w:r>
        <w:instrText xml:space="preserve"> PAGEREF _Toc25343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275C0C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_Toc9141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6.4 未来工作展望</w:t>
      </w:r>
      <w:r>
        <w:tab/>
      </w:r>
      <w:r>
        <w:fldChar w:fldCharType="begin"/>
      </w:r>
      <w:r>
        <w:instrText xml:space="preserve"> PAGEREF _Toc9141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A62029B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_Toc24881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_Toc24881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87FF6DC">
      <w:pPr>
        <w:pStyle w:val="13"/>
        <w:rPr>
          <w:b w:val="0"/>
        </w:rPr>
      </w:pPr>
      <w:r>
        <w:rPr>
          <w:rFonts w:ascii="华文楷体" w:hAnsi="华文楷体" w:eastAsia="华文楷体"/>
          <w:lang w:val="zh-CN"/>
        </w:rPr>
        <w:fldChar w:fldCharType="end"/>
      </w:r>
    </w:p>
    <w:p w14:paraId="251DEDAD">
      <w:pPr>
        <w:pStyle w:val="2"/>
        <w:jc w:val="center"/>
      </w:pPr>
      <w:bookmarkStart w:id="4" w:name="_Toc15010"/>
      <w:r>
        <w:rPr>
          <w:rFonts w:hint="eastAsia"/>
        </w:rPr>
        <w:t>需求分析</w:t>
      </w:r>
      <w:bookmarkEnd w:id="4"/>
    </w:p>
    <w:p w14:paraId="3049A718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" w:name="_Toc6962"/>
      <w:bookmarkStart w:id="6" w:name="项目背景与政策契合度"/>
      <w:r>
        <w:rPr>
          <w:rFonts w:hint="eastAsia" w:ascii="黑体" w:hAnsi="黑体" w:eastAsia="黑体" w:cs="黑体"/>
        </w:rPr>
        <w:t>1.1 项目背景与政策契合度</w:t>
      </w:r>
      <w:bookmarkEnd w:id="5"/>
    </w:p>
    <w:p w14:paraId="3783426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国家“人工智能+”行动计划的深入推进，教育领域正经历从“信息化”向“智能化”的数字化转型。2024年教育部明确提出要构建“数字化驱动的教育教学新生态”，鼓励利用大模型技术赋能学生个性化学习。然而，当前的数字化教学资源虽丰富，却存在</w:t>
      </w:r>
      <w:r>
        <w:rPr>
          <w:rFonts w:hint="eastAsia" w:ascii="宋体" w:hAnsi="宋体" w:eastAsia="宋体" w:cs="宋体"/>
          <w:b w:val="0"/>
          <w:bCs w:val="0"/>
        </w:rPr>
        <w:t>“资源碎片化、工具散乱化、方法论缺失”</w:t>
      </w:r>
      <w:r>
        <w:rPr>
          <w:rFonts w:hint="eastAsia" w:ascii="宋体" w:hAnsi="宋体" w:eastAsia="宋体" w:cs="宋体"/>
        </w:rPr>
        <w:t>的问题。</w:t>
      </w:r>
      <w:r>
        <w:rPr>
          <w:rFonts w:hint="eastAsia" w:ascii="宋体" w:hAnsi="宋体" w:eastAsia="宋体" w:cs="宋体"/>
          <w:b w:val="0"/>
          <w:bCs w:val="0"/>
        </w:rPr>
        <w:t>全学科学生</w:t>
      </w:r>
      <w:r>
        <w:rPr>
          <w:rFonts w:hint="eastAsia" w:ascii="宋体" w:hAnsi="宋体" w:eastAsia="宋体" w:cs="宋体"/>
        </w:rPr>
        <w:t>在学习中均面临知识密度大、公式/逻辑推导复杂、文档专业性强的痛点，传统的通用协作软件难以满足深度学习的需求。本项目《伴学 - AI 智能学习助手》正是响应教育数字化政策，旨在通过 RAG（检索增强生成）与多智能体（Multi-Agent）技术，为</w:t>
      </w:r>
      <w:r>
        <w:rPr>
          <w:rFonts w:hint="eastAsia" w:ascii="宋体" w:hAnsi="宋体" w:eastAsia="宋体" w:cs="宋体"/>
          <w:b w:val="0"/>
          <w:bCs w:val="0"/>
        </w:rPr>
        <w:t>全体学生</w:t>
      </w:r>
      <w:r>
        <w:rPr>
          <w:rFonts w:hint="eastAsia" w:ascii="宋体" w:hAnsi="宋体" w:eastAsia="宋体" w:cs="宋体"/>
        </w:rPr>
        <w:t>构建一个标准化的、方法论驱动的智能学习空间。</w:t>
      </w:r>
    </w:p>
    <w:bookmarkEnd w:id="6"/>
    <w:p w14:paraId="576BEF47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7" w:name="_Toc13358"/>
      <w:bookmarkStart w:id="8" w:name="目标用户分析与痛点识别"/>
      <w:r>
        <w:rPr>
          <w:rFonts w:hint="eastAsia" w:ascii="黑体" w:hAnsi="黑体" w:eastAsia="黑体" w:cs="黑体"/>
        </w:rPr>
        <w:t>1.2 目标用户分析与痛点识别</w:t>
      </w:r>
      <w:bookmarkEnd w:id="7"/>
    </w:p>
    <w:p w14:paraId="448CFDE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本项目主要面向高等院校本科生及研究生、中学生等全学段学生，覆盖文、理、工、医、经、管等全学科，核心痛点如下：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知识“幻觉”风险：通用 AI 模型在回答专业细节时易产生幻觉，学生缺乏可信赖的辅助工具。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认知负荷过重：学习过程需频繁切换 PDF 阅读器、笔记软件、日历排期和搜索引擎，导致注意力频繁中断。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学习方法论落地难：费曼技巧、康奈尔笔记、间隔重复等优秀方法论在传统软件中需人工维护，学生难以坚持。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缺乏自适应反馈：现有的日程表是静态的，无法根据用户的错题反馈、学习速率波动进行动态的计划调整。</w:t>
      </w:r>
    </w:p>
    <w:bookmarkEnd w:id="8"/>
    <w:p w14:paraId="502593C3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9" w:name="_Toc868"/>
      <w:bookmarkStart w:id="10" w:name="核心功能需求functional-requirements"/>
      <w:r>
        <w:rPr>
          <w:rFonts w:hint="eastAsia" w:ascii="黑体" w:hAnsi="黑体" w:eastAsia="黑体" w:cs="黑体"/>
        </w:rPr>
        <w:t>1.3 核心功能需求</w:t>
      </w:r>
      <w:bookmarkEnd w:id="9"/>
    </w:p>
    <w:p w14:paraId="22DF647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基于以上痛点，系统必须满足以下四大核心功能：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F1. 全学科 RAG 知识库：支持用户上传各学科教材、课件及论文，系统需实现精准的文档切片与语义检索。要求具备“Strict 严格模式”，确保 AI 回答必须源于用户提供的权威资料，并自动标注出处。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F2. Skill 驱动的学习执行引擎：将抽象的学习方法（如“错题复习流”、“讲义生成流”）抽象为可调度的 Prompt 链，由 AI 引导用户一步步完成深度思考，而非简单的“问答模式”。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F3. Multi-Agent 议事会调度系统：系统需分配校长、班主任、老师、同桌四种智能体角色。其中“同桌”负责监听学习数据并产生负反馈信号，“班主任”负责操作日历 API 自动插入补课任务，实现“学、测、调”闭环。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F4. 原生可视化知识生产：提供原生 Canvas 思维导图与学术级 .docx 讲义导出功能，支持 LaTeX 公式、文本、图表排版，确保全学科知识产出的标准化与美观性。</w:t>
      </w:r>
    </w:p>
    <w:bookmarkEnd w:id="10"/>
    <w:p w14:paraId="00E901B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1" w:name="_Toc10421"/>
      <w:bookmarkStart w:id="12" w:name="非功能性需求non-functional-requirements"/>
      <w:r>
        <w:rPr>
          <w:rFonts w:hint="eastAsia" w:ascii="黑体" w:hAnsi="黑体" w:eastAsia="黑体" w:cs="黑体"/>
        </w:rPr>
        <w:t>1.4 非功能性需求</w:t>
      </w:r>
      <w:bookmarkEnd w:id="11"/>
    </w:p>
    <w:p w14:paraId="6561685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数据隔离与安全性：确保多学科会话状态（Provider State）完全隔离，用户私有学习资料在向量化过程中的数据隐私。</w:t>
      </w:r>
    </w:p>
    <w:p w14:paraId="12EB51C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多端响应能力：系统需适配手机（碎片化复习）、平板（深度阅读/绘图）及 Web/PC（大规模文档录入）等不同交互场景。</w:t>
      </w:r>
    </w:p>
    <w:p w14:paraId="547584A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响应性能：大模型交互应采用 SSE 流式响应，首字返回延迟需控制在 500ms 以内，以保证心流学习体验。</w:t>
      </w:r>
    </w:p>
    <w:bookmarkEnd w:id="12"/>
    <w:p w14:paraId="0BE2B803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3" w:name="_Toc7063"/>
      <w:bookmarkStart w:id="14" w:name="竞品对比与差异化价值"/>
      <w:r>
        <w:rPr>
          <w:rFonts w:hint="eastAsia" w:ascii="黑体" w:hAnsi="黑体" w:eastAsia="黑体" w:cs="黑体"/>
        </w:rPr>
        <w:t>1.5 竞品对比与差异化价值</w:t>
      </w:r>
      <w:bookmarkEnd w:id="13"/>
    </w:p>
    <w:p w14:paraId="03E2D01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对比市场上主流的效率工具：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Cognito/Anki：侧重于单点记忆，缺乏对整本教材的理解能力和跨学科规划。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MindPal/Notion AI：偏向企业协作与工作流，学习方法论的垂直深度不足，且对学术公式支持较差。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伴学 (Learning OS)：通过 “工具+方法+陪伴” 三位一体的解耦设计，首次提出了“学习专用操作系统”概念，实现了从“AI 提供答案”到“AI 辅助思考”的本质跨越，覆盖全学科、全学段学生。</w:t>
      </w:r>
    </w:p>
    <w:p w14:paraId="69299DA3">
      <w:pPr>
        <w:pStyle w:val="7"/>
        <w:ind w:left="0" w:leftChars="0" w:firstLine="0" w:firstLineChars="0"/>
        <w:rPr>
          <w:rFonts w:hint="eastAsia"/>
        </w:rPr>
      </w:pPr>
      <w:r>
        <w:rPr>
          <w:rFonts w:ascii="Arial Unicode MS" w:hAnsi="Arial Unicode MS" w:eastAsia="Arial Unicode MS" w:cs="Arial Unicode MS"/>
          <w:rtl w:val="0"/>
        </w:rPr>
        <w:t>逻辑对比图：</w:t>
      </w:r>
    </w:p>
    <w:p w14:paraId="776E0D8F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4140200"/>
            <wp:effectExtent l="0" t="0" r="0" b="127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"/>
    <w:p w14:paraId="6A10FA88">
      <w:pPr>
        <w:pStyle w:val="2"/>
        <w:jc w:val="center"/>
        <w:rPr>
          <w:rFonts w:hint="eastAsia"/>
        </w:rPr>
      </w:pPr>
      <w:bookmarkStart w:id="15" w:name="_Toc1885"/>
      <w:r>
        <w:rPr>
          <w:rFonts w:hint="eastAsia"/>
        </w:rPr>
        <w:t>概要设计</w:t>
      </w:r>
      <w:bookmarkEnd w:id="15"/>
    </w:p>
    <w:p w14:paraId="0A58C724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6" w:name="_Toc28662"/>
      <w:bookmarkStart w:id="17" w:name="设计理念与架构范式"/>
      <w:r>
        <w:rPr>
          <w:rFonts w:hint="eastAsia" w:ascii="黑体" w:hAnsi="黑体" w:eastAsia="黑体" w:cs="黑体"/>
        </w:rPr>
        <w:t>2.1 设计理念与架构范式</w:t>
      </w:r>
      <w:bookmarkEnd w:id="16"/>
    </w:p>
    <w:p w14:paraId="5E28B1B7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本项目摒弃了传统学习软件“功能堆砌”的模式，创新性地提出了 “Learning OS（学习专用操作系统）” 架构范式。核心理念：工具归工具，方法归方法，用户说了算。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核心逻辑在于将底层原子工具能力（如记录、渲染、检索）与高层学习方法论调度（如 Skill、Plan、Agent）进行深度解耦。系统被设计为一个微内核（Micro-kernel）架构，其中 AI 智能体充当操作系统的调度器，而各个学习组件（笔记本、思维导图、题库）则作为标准化的系统服务被调用。</w:t>
      </w:r>
    </w:p>
    <w:bookmarkEnd w:id="17"/>
    <w:p w14:paraId="47174EF2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8" w:name="_Toc1757"/>
      <w:bookmarkStart w:id="19" w:name="系统整体架构图"/>
      <w:r>
        <w:rPr>
          <w:rFonts w:hint="eastAsia" w:ascii="黑体" w:hAnsi="黑体" w:eastAsia="黑体" w:cs="黑体"/>
        </w:rPr>
        <w:t>2.2 系统整体架构图</w:t>
      </w:r>
      <w:bookmarkEnd w:id="18"/>
    </w:p>
    <w:p w14:paraId="30DCEC3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系统采用严密的“前后端分离”与“分层依赖”模型，分为以下五层结构：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用户感知层（Client UI）：基于 Flutter 跨平台框架，通过单基准代码库适配 Android、iOS、Web 及 PC 端。采用自适应布局技术，确保全学科复杂公式、图表、文本显示与大规模思维导图编辑时拥有极致的交互体验。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模式控制层（Control Layer）：系统的核心调度中枢，支持四种运行模式：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纯手动模式：挂起 AI 调度，提供低延迟的笔记与绘图环境。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DIY 模式：用户自定义工具组合，适应个性化研究需求。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Skill 驱动模式：载入方法论脚本，由 AI 引导执行 Prompt 链式任务。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Agent 陪伴模式：激活多智能体议事会，系统进入全自动数据监控与排期调节状态。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业务组件层（Component Ecosystem）：遵循统一接口协议的独立功能模块。包括：答疑室、笔记本、思维导图、错题本、资料库、排期日历。各组件间通过 EventBus 实现松耦合通信。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原子工具层（Tooling Utilities）：剥离业务逻辑的纯工程能力层。包含自研的 Canvas 绘图引擎、Docx 底层 XML 解析器、OCR 图像识别服务、SSE (Server-Sent Events) 流式客户端。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核心后端与数据服务层（FastAPI Backend）：采用异步高并发框架，集成向量数据库（用于 RAG 语义检索）与传统关系型数据库 SQLite（用于持久化元数据）。</w:t>
      </w:r>
    </w:p>
    <w:bookmarkEnd w:id="19"/>
    <w:p w14:paraId="79A6D67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0" w:name="_Toc4806"/>
      <w:bookmarkStart w:id="21" w:name="多智能体议事会-multi-agent-council-模型"/>
      <w:r>
        <w:rPr>
          <w:rFonts w:hint="eastAsia" w:ascii="黑体" w:hAnsi="黑体" w:eastAsia="黑体" w:cs="黑体"/>
        </w:rPr>
        <w:t>2.3 多智能体议事会 (Multi-Agent Council) 模型</w:t>
      </w:r>
      <w:bookmarkEnd w:id="20"/>
    </w:p>
    <w:p w14:paraId="465DE358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为实现“陪伴式学习”并解决单一智能体能力边界问题，系统构建了多智能体协作治理模型：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4336"/>
        <w:gridCol w:w="2135"/>
      </w:tblGrid>
      <w:tr w14:paraId="155F6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29BF5B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智能体角色</w:t>
            </w:r>
          </w:p>
        </w:tc>
        <w:tc>
          <w:tcPr>
            <w:shd w:val="clear" w:color="auto" w:fill="B9CDE5"/>
          </w:tcPr>
          <w:p w14:paraId="63E333D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职责定义</w:t>
            </w:r>
          </w:p>
        </w:tc>
        <w:tc>
          <w:tcPr>
            <w:shd w:val="clear" w:color="auto" w:fill="B9CDE5"/>
          </w:tcPr>
          <w:p w14:paraId="5E2075D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反馈响应类型</w:t>
            </w:r>
          </w:p>
        </w:tc>
      </w:tr>
      <w:tr w14:paraId="0A5A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348B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校长 (Principal)</w:t>
            </w:r>
          </w:p>
        </w:tc>
        <w:tc>
          <w:p w14:paraId="49D8DEE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负责月/季度的长期学术目标规划，调控宏观复习进度。</w:t>
            </w:r>
          </w:p>
        </w:tc>
        <w:tc>
          <w:p w14:paraId="46BE2FE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慢反馈 (Slow Signal)</w:t>
            </w:r>
          </w:p>
        </w:tc>
      </w:tr>
      <w:tr w14:paraId="0DEF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3198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(Advisor)</w:t>
            </w:r>
          </w:p>
        </w:tc>
        <w:tc>
          <w:p w14:paraId="6F3054F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核心排期调度者，通过日历 API 插入或优化每日学习 Task。</w:t>
            </w:r>
          </w:p>
        </w:tc>
        <w:tc>
          <w:p w14:paraId="418D2EC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中反馈 (Medium Signal)</w:t>
            </w:r>
          </w:p>
        </w:tc>
      </w:tr>
      <w:tr w14:paraId="6675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C2BC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各科老师 (Teacher)</w:t>
            </w:r>
          </w:p>
        </w:tc>
        <w:tc>
          <w:p w14:paraId="4D459BA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全学科知识库调用者，负责执行具体的 Skill 脚本。</w:t>
            </w:r>
          </w:p>
        </w:tc>
        <w:tc>
          <w:p w14:paraId="4C293676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任务驱动 (Task Driven)</w:t>
            </w:r>
          </w:p>
        </w:tc>
      </w:tr>
      <w:tr w14:paraId="7339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2CCC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(Companion)</w:t>
            </w:r>
          </w:p>
        </w:tc>
        <w:tc>
          <w:p w14:paraId="1DBAD2A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实时监控者，监听用户心流、准确率及压力数据，触发即时干预。</w:t>
            </w:r>
          </w:p>
        </w:tc>
        <w:tc>
          <w:p w14:paraId="3036503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快反馈 (Fast Signal)</w:t>
            </w:r>
          </w:p>
        </w:tc>
      </w:tr>
      <w:bookmarkEnd w:id="21"/>
    </w:tbl>
    <w:p w14:paraId="3455F28C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2" w:name="_Toc29987"/>
      <w:bookmarkStart w:id="23" w:name="数据流向与状态管理"/>
      <w:r>
        <w:rPr>
          <w:rFonts w:hint="eastAsia" w:ascii="黑体" w:hAnsi="黑体" w:eastAsia="黑体" w:cs="黑体"/>
        </w:rPr>
        <w:t>2.4 数据流向与状态管理</w:t>
      </w:r>
      <w:bookmarkEnd w:id="22"/>
    </w:p>
    <w:p w14:paraId="002A1F0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响应式状态流：客户端采用 Riverpod 2.0 进行状态管理。利用 Family Provider 实现全学科、多会话的物理隔离，确保用户在切换“高等数学”与“大学英语”会话时，内存数据不发生交叉感染。</w:t>
      </w:r>
    </w:p>
    <w:p w14:paraId="03B9A6D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 数据流：原始文档（PDF/Docx）→ 后端分词切块 → 向量化 Embedding → 存入向量库 → 问答时计算余弦相似度检索上下文 → LLM 生成回复。</w:t>
      </w:r>
    </w:p>
    <w:p w14:paraId="44A9E9E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反馈控制流（`lib/core/agent/agent_council.dart`）：用户错题 → 同桌 Agent 感知 → 计算负反馈强度（快/中/慢） → 班主任 Agent 决策 → 日历数据修改 → 前端 UI 实时重绘日程表。</w:t>
      </w:r>
    </w:p>
    <w:bookmarkEnd w:id="23"/>
    <w:p w14:paraId="262C689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4" w:name="_Toc5108"/>
      <w:bookmarkStart w:id="25" w:name="技术栈选型理由"/>
      <w:r>
        <w:rPr>
          <w:rFonts w:hint="eastAsia" w:ascii="黑体" w:hAnsi="黑体" w:eastAsia="黑体" w:cs="黑体"/>
        </w:rPr>
        <w:t>2.5 技术栈选型理由</w:t>
      </w:r>
      <w:bookmarkEnd w:id="24"/>
    </w:p>
    <w:p w14:paraId="2DF2F23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前端：Flutter (≥3.11.4)，状态管理采用 Riverpod 2.6，路由采用 GoRouter 14.6。理由：高性能绘图能力（Canvas）支撑思维导图，多端一致性减少开发成本。</w:t>
      </w:r>
    </w:p>
    <w:p w14:paraId="264ECFD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后端：Python FastAPI (0.95+)，集成 LangChain 生态、RAG Pipeline、LLM Service。</w:t>
      </w:r>
    </w:p>
    <w:p w14:paraId="354F10E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数据库：SQLite + Vector Store。理由：轻量级，便于学生用户进行本地私有化部署，保护学习数据隐私。</w:t>
      </w:r>
    </w:p>
    <w:p w14:paraId="1903727D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4127500"/>
            <wp:effectExtent l="0" t="0" r="0" b="635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14:paraId="47D317A4">
      <w:pPr>
        <w:pStyle w:val="2"/>
        <w:jc w:val="center"/>
        <w:rPr>
          <w:rFonts w:hint="eastAsia"/>
        </w:rPr>
      </w:pPr>
      <w:bookmarkStart w:id="26" w:name="_Toc7483"/>
      <w:r>
        <w:rPr>
          <w:rFonts w:hint="eastAsia"/>
        </w:rPr>
        <w:t>详细设计</w:t>
      </w:r>
      <w:bookmarkEnd w:id="26"/>
    </w:p>
    <w:p w14:paraId="262485B4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7" w:name="_Toc27108"/>
      <w:bookmarkStart w:id="28" w:name="智能问答与分层-rag-检索管线"/>
      <w:r>
        <w:rPr>
          <w:rFonts w:hint="eastAsia" w:ascii="黑体" w:hAnsi="黑体" w:eastAsia="黑体" w:cs="黑体"/>
        </w:rPr>
        <w:t>3.1 智能问答与分层 RAG 检索管线</w:t>
      </w:r>
      <w:bookmarkEnd w:id="27"/>
    </w:p>
    <w:p w14:paraId="7C8513E4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系统在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backend/services/ra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g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ipeline.py</m:t>
        </m:r>
      </m:oMath>
      <w:r>
        <w:rPr>
          <w:rFonts w:hint="eastAsia" w:ascii="宋体" w:hAnsi="宋体" w:eastAsia="宋体" w:cs="宋体"/>
        </w:rPr>
        <w:t xml:space="preserve"> 中实现了完整的检索增强生成管线，适配全学科文档（教材、课件、笔记、论文），设计细节如下：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分级检索策略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- 语义预处理：利用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fil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arser.py</m:t>
        </m:r>
      </m:oMath>
      <w:r>
        <w:rPr>
          <w:rFonts w:hint="eastAsia" w:ascii="宋体" w:hAnsi="宋体" w:eastAsia="宋体" w:cs="宋体"/>
        </w:rPr>
        <w:t xml:space="preserve"> 对上传的 PDF 进行层级解析，保留章节标题作为元数据，防止语义分片断裂。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多模式路由：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Strict（严格模式）：设置余弦相似度阈值（距离值越小越相关，默认 τ=0.3）。仅当检索到的 Document Chunk 满足相似度时才将其输入 Prompt，否则返回预设的“查无依据”提示，彻底杜绝幻觉。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Hybrid（混合模式）：结合本地向量检索与大模型内部长程记忆，适用于解释性强的文史、经管类概念。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Broad（广谱模式）：资料库+通用知识混合，兼容基础学习场景。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2. SSE 流式响应协议：采用 Server-Sent Events 协议。后端 FastAPI 实时推送 Token，前端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ss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c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lien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n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ative.dart</m:t>
        </m:r>
      </m:oMath>
      <w:r>
        <w:rPr>
          <w:rFonts w:hint="eastAsia" w:ascii="宋体" w:hAnsi="宋体" w:eastAsia="宋体" w:cs="宋体"/>
        </w:rPr>
        <w:t xml:space="preserve"> 监听流数据并利用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flutte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r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m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arkdown</m:t>
        </m:r>
      </m:oMath>
      <w:r>
        <w:rPr>
          <w:rFonts w:hint="eastAsia" w:ascii="宋体" w:hAnsi="宋体" w:eastAsia="宋体" w:cs="宋体"/>
        </w:rPr>
        <w:t xml:space="preserve"> 实现逐字打字机效果。</w:t>
      </w:r>
    </w:p>
    <w:bookmarkEnd w:id="28"/>
    <w:p w14:paraId="0821829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9" w:name="_Toc15706"/>
      <w:bookmarkStart w:id="30" w:name="多智能体议事会-agent-council-运行机制"/>
      <w:r>
        <w:rPr>
          <w:rFonts w:hint="eastAsia" w:ascii="黑体" w:hAnsi="黑体" w:eastAsia="黑体" w:cs="黑体"/>
        </w:rPr>
        <w:t>3.2 多智能体议事会 (Agent Council) 运行机制</w:t>
      </w:r>
      <w:bookmarkEnd w:id="29"/>
    </w:p>
    <w:p w14:paraId="627CEC4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本项目核心创新点在于 lib/core/agent/ 下定义的议事会机制，详细逻辑如下：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3506"/>
        <w:gridCol w:w="3471"/>
      </w:tblGrid>
      <w:tr w14:paraId="0208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E98469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智能体角色</w:t>
            </w:r>
          </w:p>
        </w:tc>
        <w:tc>
          <w:tcPr>
            <w:shd w:val="clear" w:color="auto" w:fill="B9CDE5"/>
          </w:tcPr>
          <w:p w14:paraId="7A09323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核心逻辑实现</w:t>
            </w:r>
          </w:p>
        </w:tc>
        <w:tc>
          <w:tcPr>
            <w:shd w:val="clear" w:color="auto" w:fill="B9CDE5"/>
          </w:tcPr>
          <w:p w14:paraId="15E3C4BD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触发动作 (Actions)</w:t>
            </w:r>
          </w:p>
        </w:tc>
      </w:tr>
      <w:tr w14:paraId="04E0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E9A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(Companion)</w:t>
            </w:r>
          </w:p>
        </w:tc>
        <w:tc>
          <w:p w14:paraId="79BA4A1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监听 MistakeBook 组件更新。若同一知识点错题次数 &gt; 2，触发负反馈信号。</w:t>
            </w:r>
          </w:p>
        </w:tc>
        <w:tc>
          <w:p w14:paraId="6AAB07C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emit(FeedbackSignal.Medium)</w:t>
            </w:r>
          </w:p>
        </w:tc>
      </w:tr>
      <w:tr w14:paraId="591C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286F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(Advisor)</w:t>
            </w:r>
          </w:p>
        </w:tc>
        <w:tc>
          <w:p w14:paraId="13C5FB9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订阅 FeedbackSignal。调用 CalendarApiService 查询用户空闲 Slot。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|inser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emedia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l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ask()|</m:t>
              </m:r>
            </m:oMath>
          </w:p>
        </w:tc>
        <w:tc>
          <w:p w14:paraId="6287F2A7">
            <w:pPr>
              <w:pStyle w:val="8"/>
              <w:rPr>
                <w:rFonts w:hint="eastAsia" w:ascii="宋体" w:hAnsi="宋体" w:eastAsia="宋体" w:cs="宋体"/>
              </w:rPr>
            </w:pPr>
          </w:p>
        </w:tc>
      </w:tr>
      <w:tr w14:paraId="2BCE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0F63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校长 (Principal)</w:t>
            </w:r>
          </w:p>
        </w:tc>
        <w:tc>
          <w:p w14:paraId="2D4D5347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分析周度学习报告（基于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memor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ervice.py</m:t>
              </m:r>
            </m:oMath>
            <w:r>
              <w:rPr>
                <w:rFonts w:hint="eastAsia" w:ascii="宋体" w:hAnsi="宋体" w:eastAsia="宋体" w:cs="宋体"/>
              </w:rPr>
              <w:t>）。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|updat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acr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o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trategy()|</m:t>
              </m:r>
            </m:oMath>
          </w:p>
        </w:tc>
        <w:tc>
          <w:p w14:paraId="2E5C0D6F">
            <w:pPr>
              <w:pStyle w:val="8"/>
              <w:rPr>
                <w:rFonts w:hint="eastAsia" w:ascii="宋体" w:hAnsi="宋体" w:eastAsia="宋体" w:cs="宋体"/>
              </w:rPr>
            </w:pPr>
          </w:p>
        </w:tc>
      </w:tr>
    </w:tbl>
    <w:p w14:paraId="1512D855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负反馈回路算法逻辑：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系统计算“挫败感因子”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F=</m:t>
        </m:r>
        <m:f>
          <m:fPr>
            <m:ctrlPr>
              <w:rPr>
                <w:rFonts w:hint="eastAsia" w:ascii="Cambria Math" w:hAnsi="Cambria Math" w:eastAsia="宋体" w:cs="宋体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∑错题难度</m:t>
            </m:r>
            <m:ctrlPr>
              <w:rPr>
                <w:rFonts w:hint="eastAsia" w:ascii="Cambria Math" w:hAnsi="Cambria Math" w:eastAsia="宋体" w:cs="宋体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∑学习时长</m:t>
            </m:r>
            <m:ctrlPr>
              <w:rPr>
                <w:rFonts w:hint="eastAsia" w:ascii="Cambria Math" w:hAnsi="Cambria Math" w:eastAsia="宋体" w:cs="宋体"/>
              </w:rPr>
            </m:ctrlPr>
          </m:den>
        </m:f>
      </m:oMath>
      <w:r>
        <w:rPr>
          <w:rFonts w:hint="eastAsia" w:ascii="宋体" w:hAnsi="宋体" w:eastAsia="宋体" w:cs="宋体"/>
        </w:rPr>
        <w:t xml:space="preserve">。当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F&gt;Threshold</m:t>
        </m:r>
      </m:oMath>
      <w:r>
        <w:rPr>
          <w:rFonts w:hint="eastAsia" w:ascii="宋体" w:hAnsi="宋体" w:eastAsia="宋体" w:cs="宋体"/>
        </w:rPr>
        <w:t xml:space="preserve"> 时，议事会强制介入，降低后续 Skill 的难度权重，或由“班主任”在日历中自动插入 15 分钟的“费曼引导”任务。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三级反馈路由：快反馈（立即调整学习方式）→ 中反馈（每日调整计划）→ 慢反馈（每周调整策略）。</w:t>
      </w:r>
    </w:p>
    <w:bookmarkEnd w:id="30"/>
    <w:p w14:paraId="07BEF89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1" w:name="_Toc32216"/>
      <w:bookmarkStart w:id="32" w:name="原生思维导图渲染引擎-mindmap-engine"/>
      <w:r>
        <w:rPr>
          <w:rFonts w:hint="eastAsia" w:ascii="黑体" w:hAnsi="黑体" w:eastAsia="黑体" w:cs="黑体"/>
        </w:rPr>
        <w:t>3.3 原生思维导图渲染引擎 (MindMap Engine)</w:t>
      </w:r>
      <w:bookmarkEnd w:id="31"/>
    </w:p>
    <w:p w14:paraId="0ECDBB5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系统采用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lib/tools/mindmap/mindma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ainter.dart</m:t>
        </m:r>
      </m:oMath>
      <w:r>
        <w:rPr>
          <w:rFonts w:hint="eastAsia" w:ascii="宋体" w:hAnsi="宋体" w:eastAsia="宋体" w:cs="宋体"/>
        </w:rPr>
        <w:t xml:space="preserve"> 方案实现思维导图渲染，通过 WebView + Markmap 展示，并支持 XMind/FreeMind 导入。核心实现位于：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坐标变换与缩放：利用 Matrix4 变换矩阵实现平滑的 Canvas 缩放与平移。支持双指手势，单次渲染帧率稳定在 60FPS。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节点布局算法：采用自顶向下的非重叠树算法。每个节点（Node）作为独立的 Widget 被包裹在 GestureDetector 中，支持实时拖拽并自动重绘连接线（采用三次贝塞尔曲线渲染）。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数据互转：实现了 Markdown ↔ JSON ↔ NodeTree 的三向转换逻辑。AI 生成的结构化 Markdown 可一键解析为可视化导图节点，适配全学科知识梳理。</w:t>
      </w:r>
    </w:p>
    <w:bookmarkEnd w:id="32"/>
    <w:p w14:paraId="50DB793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3" w:name="_Toc5679"/>
      <w:bookmarkStart w:id="34" w:name="学术级文档自动化导出技术"/>
      <w:r>
        <w:rPr>
          <w:rFonts w:hint="eastAsia" w:ascii="黑体" w:hAnsi="黑体" w:eastAsia="黑体" w:cs="黑体"/>
        </w:rPr>
        <w:t>3.4 学术级文档自动化导出技术</w:t>
      </w:r>
      <w:bookmarkEnd w:id="33"/>
    </w:p>
    <w:p w14:paraId="7E6725B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针对全学科排版需求，系统在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backend/boo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k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s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ervices/doc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oo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k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xporter.py</m:t>
        </m:r>
      </m:oMath>
      <w:r>
        <w:rPr>
          <w:rFonts w:hint="eastAsia" w:ascii="宋体" w:hAnsi="宋体" w:eastAsia="宋体" w:cs="宋体"/>
        </w:rPr>
        <w:t xml:space="preserve"> 中实现底层控制：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XML 注入：不使用简单的文字替换，而是解析 AI 生成的 Markdown AST（抽象语法树），通过 python-docx 介入 Word 的 document.xml 结构，动态生成样式（如 Heading 1 对应 22pt 黑体，正文 1.25 倍行间距）。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公式转换：系统自动识别 Markdown 中的 LaTeX 语法，通过底层的渲染层将其转换为 Word 原生支持的 OMML (Office Math Markup Language)，保证全学科公式可编辑且排版精确。</w:t>
      </w:r>
    </w:p>
    <w:p w14:paraId="7CC8C5E0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5207000"/>
            <wp:effectExtent l="0" t="0" r="0" b="1270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"/>
    <w:p w14:paraId="12390D11">
      <w:pPr>
        <w:pStyle w:val="2"/>
        <w:jc w:val="center"/>
        <w:rPr>
          <w:rFonts w:hint="eastAsia"/>
        </w:rPr>
      </w:pPr>
      <w:bookmarkStart w:id="35" w:name="_Toc24678"/>
      <w:r>
        <w:rPr>
          <w:rFonts w:hint="eastAsia"/>
        </w:rPr>
        <w:t>测试报告</w:t>
      </w:r>
      <w:bookmarkEnd w:id="35"/>
    </w:p>
    <w:p w14:paraId="5F107B69">
      <w:pPr>
        <w:pStyle w:val="8"/>
      </w:pPr>
      <w:r>
        <w:rPr>
          <w:rFonts w:hint="eastAsia"/>
        </w:rPr>
        <w:t>本项目的测试工作贯穿于敏捷开发的各个迭代周期。为保障“Learning</w:t>
      </w:r>
      <w:r>
        <w:t xml:space="preserve"> </w:t>
      </w:r>
      <w:r>
        <w:rPr>
          <w:rFonts w:hint="eastAsia"/>
        </w:rPr>
        <w:t>OS”这一系统级应用在多端环境下的高可用性，团队分别针对核心算法（RAG、Agent</w:t>
      </w:r>
      <w:r>
        <w:t xml:space="preserve"> </w:t>
      </w:r>
      <w:r>
        <w:rPr>
          <w:rFonts w:hint="eastAsia"/>
        </w:rPr>
        <w:t>调度）、渲染性能（Canvas）、并发通信（SSE）以及平台兼容性进行了深度测试。</w:t>
      </w:r>
    </w:p>
    <w:p w14:paraId="2C06C85F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6" w:name="_Toc9717"/>
      <w:bookmarkStart w:id="37" w:name="核心算法与-ai-模型测试"/>
      <w:r>
        <w:rPr>
          <w:rFonts w:hint="eastAsia" w:ascii="黑体" w:hAnsi="黑体" w:eastAsia="黑体" w:cs="黑体"/>
        </w:rPr>
        <w:t>4.1 核心算法与 AI 模型测试</w:t>
      </w:r>
      <w:bookmarkEnd w:id="36"/>
    </w:p>
    <w:p w14:paraId="111747B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该部分重点验证了自研机制对通用大模型“幻觉”的抑制能力及逻辑调度的准确性。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833"/>
        <w:gridCol w:w="1071"/>
        <w:gridCol w:w="1192"/>
        <w:gridCol w:w="1870"/>
        <w:gridCol w:w="1273"/>
      </w:tblGrid>
      <w:tr w14:paraId="1B4C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3ED3DF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测试用例 ID</w:t>
            </w:r>
          </w:p>
        </w:tc>
        <w:tc>
          <w:tcPr>
            <w:shd w:val="clear" w:color="auto" w:fill="B9CDE5"/>
          </w:tcPr>
          <w:p w14:paraId="66A57EF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测试模块</w:t>
            </w:r>
          </w:p>
        </w:tc>
        <w:tc>
          <w:tcPr>
            <w:shd w:val="clear" w:color="auto" w:fill="B9CDE5"/>
          </w:tcPr>
          <w:p w14:paraId="5EB4A3A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前置条件</w:t>
            </w:r>
          </w:p>
        </w:tc>
        <w:tc>
          <w:tcPr>
            <w:shd w:val="clear" w:color="auto" w:fill="B9CDE5"/>
          </w:tcPr>
          <w:p w14:paraId="4B7F1D3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测试输入与操作</w:t>
            </w:r>
          </w:p>
        </w:tc>
        <w:tc>
          <w:tcPr>
            <w:shd w:val="clear" w:color="auto" w:fill="B9CDE5"/>
          </w:tcPr>
          <w:p w14:paraId="5FCB8FE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预期结果</w:t>
            </w:r>
          </w:p>
        </w:tc>
        <w:tc>
          <w:tcPr>
            <w:shd w:val="clear" w:color="auto" w:fill="B9CDE5"/>
          </w:tcPr>
          <w:p w14:paraId="32A696F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实际执行结果 (状态)</w:t>
            </w:r>
          </w:p>
        </w:tc>
      </w:tr>
      <w:tr w14:paraId="6892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28E2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TC-A01</w:t>
            </w:r>
          </w:p>
        </w:tc>
        <w:tc>
          <w:p w14:paraId="788EC08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RAG 严格模式测试</w:t>
            </w:r>
          </w:p>
        </w:tc>
        <w:tc>
          <w:p w14:paraId="6A13A16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知识库仅包含《高等数学基础》。</w:t>
            </w:r>
          </w:p>
        </w:tc>
        <w:tc>
          <w:p w14:paraId="3C36534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提问：“根据资料，洛必达法则的适用条件是什么？”（注：该书中未提及洛必达法则）。</w:t>
            </w:r>
          </w:p>
        </w:tc>
        <w:tc>
          <w:p w14:paraId="69D0AB3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拒绝作答通用知识，并提示“在您提供的资料中未找到相关内容”。</w:t>
            </w:r>
          </w:p>
        </w:tc>
        <w:tc>
          <w:p w14:paraId="29FAF6A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(Pass)。RAG 阈值判定生效，成功拦截幻觉。</w:t>
            </w:r>
          </w:p>
        </w:tc>
      </w:tr>
      <w:tr w14:paraId="2233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DF31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TC-A02</w:t>
            </w:r>
          </w:p>
        </w:tc>
        <w:tc>
          <w:p w14:paraId="1A4EC72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Multi-Agent 反馈机制</w:t>
            </w:r>
          </w:p>
        </w:tc>
        <w:tc>
          <w:p w14:paraId="157C820E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Agent 处于激活状态。</w:t>
            </w:r>
          </w:p>
        </w:tc>
        <w:tc>
          <w:p w14:paraId="7CBFF35E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模拟用户错题本中连续记录 3 道“函数极限”难度的错题。</w:t>
            </w:r>
          </w:p>
        </w:tc>
        <w:tc>
          <w:p w14:paraId="3D92472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Agent 发出 Medium 信号；班主任 Agent 在日历中自动插入“函数极限复习”任务块。</w:t>
            </w:r>
          </w:p>
        </w:tc>
        <w:tc>
          <w:p w14:paraId="1B89D86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(Pass)。负反馈回路响应及时，日历数据自动刷新。</w:t>
            </w:r>
          </w:p>
        </w:tc>
      </w:tr>
      <w:tr w14:paraId="4A0D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7FD9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TC-A03</w:t>
            </w:r>
          </w:p>
        </w:tc>
        <w:tc>
          <w:p w14:paraId="723776B7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Skill 链式执行</w:t>
            </w:r>
          </w:p>
        </w:tc>
        <w:tc>
          <w:p w14:paraId="22B30D4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触发“费曼复习流” Skill。</w:t>
            </w:r>
          </w:p>
        </w:tc>
        <w:tc>
          <w:p w14:paraId="2FDF4C2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第一步输入：“我解释不清楚历史事件的影响。”</w:t>
            </w:r>
          </w:p>
        </w:tc>
        <w:tc>
          <w:p w14:paraId="4C48298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老师 Agent 不提供直接答案，而是使用 PromptChain 生成引导性问题：“没关系，试着举一个这个事件在当时社会的具体例子？”</w:t>
            </w:r>
          </w:p>
        </w:tc>
        <w:tc>
          <w:p w14:paraId="78F424C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(Pass)。完美符合方法论引擎的预期交互逻辑。</w:t>
            </w:r>
          </w:p>
        </w:tc>
      </w:tr>
      <w:bookmarkEnd w:id="37"/>
    </w:tbl>
    <w:p w14:paraId="502A8BAD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8" w:name="_Toc3806"/>
      <w:bookmarkStart w:id="39" w:name="性能与并发交互测试"/>
      <w:r>
        <w:rPr>
          <w:rFonts w:hint="eastAsia" w:ascii="黑体" w:hAnsi="黑体" w:eastAsia="黑体" w:cs="黑体"/>
        </w:rPr>
        <w:t>4.2 性能与并发交互测试</w:t>
      </w:r>
      <w:bookmarkEnd w:id="38"/>
    </w:p>
    <w:p w14:paraId="2A187DB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SSE 流式通信延迟测试：在答疑室模块中，采用 SSE 推送。针对 500 Token 以上的长文本生成，首字响应延迟稳定在 450ms~600ms 之间，输出平滑无卡顿。</w:t>
      </w:r>
    </w:p>
    <w:p w14:paraId="3F2118A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原生思维导图渲染压力测试：导入 500+ 节点的 Markdown 数据，开启硬件加速后，缩放、拖拽帧率稳定在 58~60 帧，无白屏重绘。</w:t>
      </w:r>
    </w:p>
    <w:bookmarkEnd w:id="39"/>
    <w:p w14:paraId="5E24613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0" w:name="_Toc29911"/>
      <w:bookmarkStart w:id="41" w:name="多端兼容性与-ui-适配测试"/>
      <w:r>
        <w:rPr>
          <w:rFonts w:hint="eastAsia" w:ascii="黑体" w:hAnsi="黑体" w:eastAsia="黑体" w:cs="黑体"/>
        </w:rPr>
        <w:t>4.3 多端兼容性与 UI 适配测试</w:t>
      </w:r>
      <w:bookmarkEnd w:id="40"/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75"/>
        <w:gridCol w:w="2073"/>
        <w:gridCol w:w="2322"/>
        <w:gridCol w:w="1051"/>
      </w:tblGrid>
      <w:tr w14:paraId="3CA5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698DBC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测试平台</w:t>
            </w:r>
          </w:p>
        </w:tc>
        <w:tc>
          <w:tcPr>
            <w:shd w:val="clear" w:color="auto" w:fill="B9CDE5"/>
          </w:tcPr>
          <w:p w14:paraId="1B75BCC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系统版本</w:t>
            </w:r>
          </w:p>
        </w:tc>
        <w:tc>
          <w:tcPr>
            <w:shd w:val="clear" w:color="auto" w:fill="B9CDE5"/>
          </w:tcPr>
          <w:p w14:paraId="680919A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UI 响应与布局测试</w:t>
            </w:r>
          </w:p>
        </w:tc>
        <w:tc>
          <w:tcPr>
            <w:shd w:val="clear" w:color="auto" w:fill="B9CDE5"/>
          </w:tcPr>
          <w:p w14:paraId="55B1134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核心功能验证</w:t>
            </w:r>
          </w:p>
        </w:tc>
        <w:tc>
          <w:tcPr>
            <w:shd w:val="clear" w:color="auto" w:fill="B9CDE5"/>
          </w:tcPr>
          <w:p w14:paraId="32B39A3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状态结论</w:t>
            </w:r>
          </w:p>
        </w:tc>
      </w:tr>
      <w:tr w14:paraId="1D39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54C2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</w:t>
            </w:r>
          </w:p>
        </w:tc>
        <w:tc>
          <w:p w14:paraId="2F066AC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 13/14</w:t>
            </w:r>
          </w:p>
        </w:tc>
        <w:tc>
          <w:p w14:paraId="05D760D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底部导航栏切换流畅；全面屏手势不冲突。</w:t>
            </w:r>
          </w:p>
        </w:tc>
        <w:tc>
          <w:p w14:paraId="0492504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SQLite 本地化存储正常；PDF 上传正常。</w:t>
            </w:r>
          </w:p>
        </w:tc>
        <w:tc>
          <w:p w14:paraId="20C894B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tr w14:paraId="0A22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CCDE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iOS</w:t>
            </w:r>
          </w:p>
        </w:tc>
        <w:tc>
          <w:p w14:paraId="3FAD6AF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iOS 17</w:t>
            </w:r>
          </w:p>
        </w:tc>
        <w:tc>
          <w:p w14:paraId="7B7C3AE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安全区避让正常，无遮挡。</w:t>
            </w:r>
          </w:p>
        </w:tc>
        <w:tc>
          <w:p w14:paraId="1C951BB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网络请求正常。</w:t>
            </w:r>
          </w:p>
        </w:tc>
        <w:tc>
          <w:p w14:paraId="50266E16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tr w14:paraId="3CA0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9BFB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Web Browser</w:t>
            </w:r>
          </w:p>
        </w:tc>
        <w:tc>
          <w:p w14:paraId="750B487D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Chrome 120+</w:t>
            </w:r>
          </w:p>
        </w:tc>
        <w:tc>
          <w:p w14:paraId="2BA2AA3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响应式设计生效。</w:t>
            </w:r>
          </w:p>
        </w:tc>
        <w:tc>
          <w:p w14:paraId="5D89689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.docx 下载正常。</w:t>
            </w:r>
          </w:p>
        </w:tc>
        <w:tc>
          <w:p w14:paraId="67282E1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bookmarkEnd w:id="41"/>
    </w:tbl>
    <w:p w14:paraId="0A7C26D6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2" w:name="_Toc14469"/>
      <w:bookmarkStart w:id="43" w:name="状态隔离与内存泄漏测试"/>
      <w:r>
        <w:rPr>
          <w:rFonts w:hint="eastAsia" w:ascii="黑体" w:hAnsi="黑体" w:eastAsia="黑体" w:cs="黑体"/>
        </w:rPr>
        <w:t>4.4 状态隔离与内存泄漏测试</w:t>
      </w:r>
      <w:bookmarkEnd w:id="42"/>
    </w:p>
    <w:p w14:paraId="5701E4C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测试方法：频繁在“高等数学”和“大学英语”两个学科空间之间切换，快速开关思维导图和答疑室。</w:t>
      </w:r>
    </w:p>
    <w:p w14:paraId="2DEE8020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执行结果：多学科会话上下文严格物理隔离，无数据交叉污染，无内存持续上涨问题。</w:t>
      </w:r>
    </w:p>
    <w:p w14:paraId="74ECB48A">
      <w:pPr>
        <w:pStyle w:val="7"/>
        <w:ind w:left="0" w:leftChars="0" w:firstLine="0" w:firstLineChars="0"/>
        <w:rPr>
          <w:rFonts w:hint="eastAsia"/>
        </w:rPr>
      </w:pPr>
      <w:r>
        <w:rPr>
          <w:b/>
          <w:bCs/>
        </w:rPr>
        <w:drawing>
          <wp:inline distT="114300" distB="114300" distL="114300" distR="114300">
            <wp:extent cx="5943600" cy="4699000"/>
            <wp:effectExtent l="0" t="0" r="0" b="635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3"/>
    <w:p w14:paraId="22F48A92">
      <w:pPr>
        <w:pStyle w:val="2"/>
        <w:jc w:val="center"/>
        <w:rPr>
          <w:rFonts w:hint="eastAsia"/>
        </w:rPr>
      </w:pPr>
      <w:bookmarkStart w:id="44" w:name="_Toc17823"/>
      <w:r>
        <w:rPr>
          <w:rFonts w:hint="eastAsia"/>
        </w:rPr>
        <w:t>安装及使用</w:t>
      </w:r>
      <w:bookmarkEnd w:id="44"/>
    </w:p>
    <w:p w14:paraId="119C4A3D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5" w:name="_Toc11029"/>
      <w:bookmarkStart w:id="46" w:name="运行环境要求"/>
      <w:r>
        <w:rPr>
          <w:rFonts w:hint="eastAsia" w:ascii="黑体" w:hAnsi="黑体" w:eastAsia="黑体" w:cs="黑体"/>
        </w:rPr>
        <w:t>5.1 运行环境要求</w:t>
      </w:r>
      <w:bookmarkEnd w:id="45"/>
    </w:p>
    <w:p w14:paraId="7C71A404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服务端（后端）：Linux (Ubuntu 20.04+)、macOS 或 Windows 10/11；Python 3.10+；核心依赖：FastAPI、SQLAlchemy、Uvicorn 等。</w:t>
      </w:r>
    </w:p>
    <w:p w14:paraId="3FE6DE2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客户端（前端）：Flutter SDK ≥3.11.4；适配 Android 10.0+、iOS 15.0+、Chrome 120+ 等。</w:t>
      </w:r>
    </w:p>
    <w:bookmarkEnd w:id="46"/>
    <w:p w14:paraId="08670837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7" w:name="_Toc21714"/>
      <w:bookmarkStart w:id="48" w:name="后端服务部署"/>
      <w:r>
        <w:rPr>
          <w:rFonts w:hint="eastAsia" w:ascii="黑体" w:hAnsi="黑体" w:eastAsia="黑体" w:cs="黑体"/>
        </w:rPr>
        <w:t>5.2 后端服务部署</w:t>
      </w:r>
      <w:bookmarkEnd w:id="47"/>
    </w:p>
    <w:p w14:paraId="00A48C1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环境初始化：创建 Python 虚拟环境，执行 pip install -r requirements.txt</w:t>
      </w:r>
    </w:p>
    <w:p w14:paraId="2A093AC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配置文件：复制 .env.example 为 .env，填入环境变量</w:t>
      </w:r>
    </w:p>
    <w:p w14:paraId="7F9D296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数据库初始化：执行 python run_migration.py</w:t>
      </w:r>
    </w:p>
    <w:p w14:paraId="5C37A80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启动服务：执行 uvicorn main:app --host 0.0.0.0 --port 8000 --reload</w:t>
      </w:r>
    </w:p>
    <w:bookmarkEnd w:id="48"/>
    <w:p w14:paraId="2D3D013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9" w:name="_Toc2027"/>
      <w:bookmarkStart w:id="50" w:name="客户端编译与运行"/>
      <w:r>
        <w:rPr>
          <w:rFonts w:hint="eastAsia" w:ascii="黑体" w:hAnsi="黑体" w:eastAsia="黑体" w:cs="黑体"/>
        </w:rPr>
        <w:t>5.3 客户端编译与运行</w:t>
      </w:r>
      <w:bookmarkEnd w:id="49"/>
    </w:p>
    <w:p w14:paraId="1536726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获取依赖：flutter pub get</w:t>
      </w:r>
    </w:p>
    <w:p w14:paraId="68B8E278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自动代码生成：dart run build_runner build --delete-conflicting-outputs</w:t>
      </w:r>
    </w:p>
    <w:p w14:paraId="52C1A71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运行：flutter run -d android/chrome/ios</w:t>
      </w:r>
    </w:p>
    <w:bookmarkEnd w:id="50"/>
    <w:p w14:paraId="646323E6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1" w:name="_Toc24991"/>
      <w:bookmarkStart w:id="52" w:name="典型使用指南walkthrough"/>
      <w:r>
        <w:rPr>
          <w:rFonts w:hint="eastAsia" w:ascii="黑体" w:hAnsi="黑体" w:eastAsia="黑体" w:cs="黑体"/>
        </w:rPr>
        <w:t>5.4 典型使用指南</w:t>
      </w:r>
      <w:bookmarkEnd w:id="51"/>
    </w:p>
    <w:p w14:paraId="6BF5C93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构建学科知识库：进入“工具箱”→“学科管理”，创建新学科（如《高等数学》），上传 PDF 课件，系统自动分片向量化。</w:t>
      </w:r>
    </w:p>
    <w:p w14:paraId="3CA03CD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 RAG 答疑：导航至“答疑室”，切换为“Strict”模式，AI 依据本地资料精准回答并标注出处。</w:t>
      </w:r>
    </w:p>
    <w:p w14:paraId="72CCB54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知识内化：点击“生成思维导图”结构化知识点，开启“费曼复习”，AI 引导薄弱点讲解。</w:t>
      </w:r>
    </w:p>
    <w:p w14:paraId="7861F19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自适应排期：记录错题后，议事会自动检测负反馈，班主任 Agent 插入专项复习任务。</w:t>
      </w:r>
    </w:p>
    <w:p w14:paraId="6DBA8828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5130800"/>
            <wp:effectExtent l="0" t="0" r="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2"/>
    <w:p w14:paraId="699B0C6C">
      <w:pPr>
        <w:pStyle w:val="2"/>
        <w:jc w:val="center"/>
        <w:rPr>
          <w:rFonts w:hint="eastAsia"/>
        </w:rPr>
      </w:pPr>
      <w:bookmarkStart w:id="53" w:name="_Toc12214"/>
      <w:r>
        <w:rPr>
          <w:rFonts w:hint="eastAsia"/>
        </w:rPr>
        <w:t>项目总结</w:t>
      </w:r>
      <w:bookmarkEnd w:id="53"/>
    </w:p>
    <w:p w14:paraId="27DE6679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4" w:name="_Toc22346"/>
      <w:bookmarkStart w:id="55" w:name="作品特色与创新点"/>
      <w:r>
        <w:rPr>
          <w:rFonts w:hint="eastAsia" w:ascii="黑体" w:hAnsi="黑体" w:eastAsia="黑体" w:cs="黑体"/>
        </w:rPr>
        <w:t>6.1 作品特色与创新点</w:t>
      </w:r>
      <w:bookmarkEnd w:id="54"/>
    </w:p>
    <w:p w14:paraId="798F1B77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形态创新：首创全学科学习专用操作系统范式，微内核设计实现工具与方法论深度解耦，适配全学段、全学科学生。</w:t>
      </w:r>
    </w:p>
    <w:p w14:paraId="133191A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交互创新：Multi-Agent 议事会+三级负反馈机制，实现自适应学习，解决静态计划、AI 建议空泛的痛点。</w:t>
      </w:r>
    </w:p>
    <w:p w14:paraId="75B0E6F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技术创新：全学科 RAG 严格模式防幻觉+自研 Canvas 思维导图引擎，兼顾专业性与交互体验。</w:t>
      </w:r>
    </w:p>
    <w:bookmarkEnd w:id="55"/>
    <w:p w14:paraId="2AD152A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6" w:name="_Toc179"/>
      <w:bookmarkStart w:id="57" w:name="关键技术攻坚"/>
      <w:r>
        <w:rPr>
          <w:rFonts w:hint="eastAsia" w:ascii="黑体" w:hAnsi="黑体" w:eastAsia="黑体" w:cs="黑体"/>
        </w:rPr>
        <w:t>6.2 关键技术攻坚</w:t>
      </w:r>
      <w:bookmarkEnd w:id="56"/>
    </w:p>
    <w:p w14:paraId="5B4BAA3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多学科状态隔离：通过 Riverpod FamilyProvider 解决跨学科会话数据冲突。</w:t>
      </w:r>
    </w:p>
    <w:p w14:paraId="5691ABF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流式响应兼容：攻克 SSE 多端适配难题，实现毫秒级交互。</w:t>
      </w:r>
    </w:p>
    <w:p w14:paraId="3296942B">
      <w:pPr>
        <w:pStyle w:val="8"/>
      </w:pPr>
      <w:r>
        <w:rPr>
          <w:rFonts w:hint="eastAsia" w:ascii="宋体" w:hAnsi="宋体" w:eastAsia="宋体" w:cs="宋体"/>
        </w:rPr>
        <w:t>学术文档导出：底层操控 Word XML，实现全学科</w:t>
      </w:r>
      <w:r>
        <w:rPr>
          <w:rFonts w:hint="eastAsia"/>
        </w:rPr>
        <w:t>公式精准排版。</w:t>
      </w:r>
    </w:p>
    <w:bookmarkEnd w:id="57"/>
    <w:p w14:paraId="04ED52F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8" w:name="_Toc25343"/>
      <w:bookmarkStart w:id="59" w:name="个人与团队提升"/>
      <w:r>
        <w:rPr>
          <w:rFonts w:hint="eastAsia" w:ascii="黑体" w:hAnsi="黑体" w:eastAsia="黑体" w:cs="黑体"/>
        </w:rPr>
        <w:t>6.3 个人与团队提升</w:t>
      </w:r>
      <w:bookmarkEnd w:id="58"/>
    </w:p>
    <w:p w14:paraId="648DD5F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团队在全栈架构、AI 工程化、敏捷协作能力上实现突破，验证了全学科韧性学习方法论的实效性。</w:t>
      </w:r>
    </w:p>
    <w:bookmarkEnd w:id="59"/>
    <w:p w14:paraId="1C32B0BF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60" w:name="_Toc9141"/>
      <w:r>
        <w:rPr>
          <w:rFonts w:hint="eastAsia" w:ascii="黑体" w:hAnsi="黑体" w:eastAsia="黑体" w:cs="黑体"/>
        </w:rPr>
        <w:t>6.4 未来工作展望</w:t>
      </w:r>
      <w:bookmarkEnd w:id="60"/>
    </w:p>
    <w:p w14:paraId="2631D23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Skill Marketplace：开放全学科学习方法脚本分享市场。</w:t>
      </w:r>
    </w:p>
    <w:p w14:paraId="2E19FE82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边缘 AI 部署：移动端本地小模型检索，强化数据隐私。</w:t>
      </w:r>
    </w:p>
    <w:p w14:paraId="448D6CE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跨设备协同：平板绘图与 PC 编辑无缝联动。</w:t>
      </w:r>
    </w:p>
    <w:p w14:paraId="074DADF3">
      <w:pPr>
        <w:pStyle w:val="7"/>
        <w:ind w:left="0" w:leftChars="0" w:firstLine="0" w:firstLineChars="0"/>
        <w:jc w:val="both"/>
        <w:rPr>
          <w:rFonts w:hint="eastAsia"/>
        </w:rPr>
      </w:pPr>
      <w:r>
        <w:drawing>
          <wp:inline distT="114300" distB="114300" distL="114300" distR="114300">
            <wp:extent cx="5943600" cy="430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035">
      <w:pPr>
        <w:pStyle w:val="2"/>
        <w:numPr>
          <w:numId w:val="0"/>
        </w:numPr>
        <w:ind w:leftChars="0"/>
        <w:jc w:val="both"/>
        <w:rPr>
          <w:rFonts w:hint="eastAsia"/>
        </w:rPr>
      </w:pPr>
      <w:bookmarkStart w:id="61" w:name="_Toc24881"/>
      <w:r>
        <w:rPr>
          <w:rFonts w:hint="eastAsia"/>
        </w:rPr>
        <w:t>参考文献</w:t>
      </w:r>
      <w:bookmarkEnd w:id="61"/>
    </w:p>
    <w:p w14:paraId="0000010B">
      <w:pPr>
        <w:numPr>
          <w:ilvl w:val="0"/>
          <w:numId w:val="4"/>
        </w:numPr>
        <w:spacing w:before="240" w:after="0" w:afterAutospacing="0"/>
        <w:ind w:left="600" w:hanging="360"/>
      </w:pPr>
      <w:r>
        <w:rPr>
          <w:rtl w:val="0"/>
        </w:rPr>
        <w:t xml:space="preserve">[1] EduPlanner Project. "LLM Multi-Agent Curriculum Design." </w:t>
      </w:r>
      <w:r>
        <w:rPr>
          <w:i/>
          <w:iCs/>
          <w:rtl w:val="0"/>
        </w:rPr>
        <w:t>arXiv preprint</w:t>
      </w:r>
      <w:r>
        <w:rPr>
          <w:rtl w:val="0"/>
        </w:rPr>
        <w:t xml:space="preserve">, arXiv:2504.05370 (2025). </w:t>
      </w:r>
      <w:r>
        <w:rPr>
          <w:rFonts w:ascii="Arial Unicode MS" w:hAnsi="Arial Unicode MS" w:eastAsia="Arial Unicode MS" w:cs="Arial Unicode MS"/>
          <w:i/>
          <w:iCs/>
          <w:rtl w:val="0"/>
        </w:rPr>
        <w:t>(项目中关于 Multi-Agent 协作机制学术验证的参考来源)</w:t>
      </w:r>
    </w:p>
    <w:p w14:paraId="0000010C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[2] Flutter Framework Documentation. "Cross-platform UI toolkit." [Online]. Available:</w:t>
      </w:r>
      <w:r>
        <w:fldChar w:fldCharType="begin"/>
      </w:r>
      <w:r>
        <w:instrText xml:space="preserve"> HYPERLINK "https://flutter.dev/"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"https://flutter.dev/" \h </w:instrText>
      </w:r>
      <w:r>
        <w:fldChar w:fldCharType="separate"/>
      </w:r>
      <w:r>
        <w:rPr>
          <w:color w:val="1155CC"/>
          <w:u w:val="single"/>
          <w:rtl w:val="0"/>
        </w:rPr>
        <w:t>https://flutter.dev/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(本项目跨平台客户端核心框架的技术标准与实现依据)</w:t>
      </w:r>
    </w:p>
    <w:p w14:paraId="0000010D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[3] FastAPI Web Framework Documentation. "High performance API framework." [Online]. Available:</w:t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color w:val="1155CC"/>
          <w:u w:val="single"/>
          <w:rtl w:val="0"/>
        </w:rPr>
        <w:t>https://fastapi.tiangolo.com/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(本项目后端异步高并发服务及流式输出 SSE 机制的技术实现依据)</w:t>
      </w:r>
    </w:p>
    <w:p w14:paraId="0000010E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[4] Dart Programming Language Documentation. [Online]. Available:</w:t>
      </w:r>
      <w:r>
        <w:fldChar w:fldCharType="begin"/>
      </w:r>
      <w:r>
        <w:instrText xml:space="preserve"> HYPERLINK "https://dart.dev/"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"https://dart.dev/" \h </w:instrText>
      </w:r>
      <w:r>
        <w:fldChar w:fldCharType="separate"/>
      </w:r>
      <w:r>
        <w:rPr>
          <w:color w:val="1155CC"/>
          <w:u w:val="single"/>
          <w:rtl w:val="0"/>
        </w:rPr>
        <w:t>https://dart.dev/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 Flutter 客户端开发语言参考)</w:t>
      </w:r>
    </w:p>
    <w:p w14:paraId="0000010F">
      <w:pPr>
        <w:numPr>
          <w:ilvl w:val="0"/>
          <w:numId w:val="4"/>
        </w:numPr>
        <w:spacing w:before="0" w:beforeAutospacing="0" w:after="240"/>
        <w:ind w:left="600" w:hanging="360"/>
      </w:pPr>
      <w:r>
        <w:rPr>
          <w:rtl w:val="0"/>
        </w:rPr>
        <w:t>[5] Riverpod State Management Library. "Compile-safe state management." [Online]. Available:</w:t>
      </w:r>
      <w:r>
        <w:fldChar w:fldCharType="begin"/>
      </w:r>
      <w:r>
        <w:instrText xml:space="preserve"> HYPERLINK "https://riverpod.dev/"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"https://riverpod.dev/" \h </w:instrText>
      </w:r>
      <w:r>
        <w:fldChar w:fldCharType="separate"/>
      </w:r>
      <w:r>
        <w:rPr>
          <w:color w:val="1155CC"/>
          <w:u w:val="single"/>
          <w:rtl w:val="0"/>
        </w:rPr>
        <w:t>https://riverpod.dev/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(项目中解决跨学科多会话状态隔离及组件解耦的关键技术方案)</w:t>
      </w:r>
    </w:p>
    <w:p w14:paraId="78183B33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11"/>
      <w:jc w:val="right"/>
    </w:pPr>
  </w:p>
  <w:p w14:paraId="0BEE5740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145A112D"/>
    <w:rsid w:val="20103D0C"/>
    <w:rsid w:val="226B2757"/>
    <w:rsid w:val="23957A8C"/>
    <w:rsid w:val="2AC63200"/>
    <w:rsid w:val="2C3818FC"/>
    <w:rsid w:val="2EC65638"/>
    <w:rsid w:val="405A7D91"/>
    <w:rsid w:val="4A8E0642"/>
    <w:rsid w:val="4DE47767"/>
    <w:rsid w:val="4E256445"/>
    <w:rsid w:val="4F1D42FD"/>
    <w:rsid w:val="50887054"/>
    <w:rsid w:val="54C05405"/>
    <w:rsid w:val="56644F18"/>
    <w:rsid w:val="5F19453C"/>
    <w:rsid w:val="65420682"/>
    <w:rsid w:val="6562740E"/>
    <w:rsid w:val="66395190"/>
    <w:rsid w:val="6BC601FB"/>
    <w:rsid w:val="741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link w:val="31"/>
    <w:qFormat/>
    <w:uiPriority w:val="0"/>
    <w:pPr>
      <w:spacing w:after="120"/>
      <w:jc w:val="center"/>
    </w:pPr>
  </w:style>
  <w:style w:type="paragraph" w:styleId="6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7">
    <w:name w:val="Body Text"/>
    <w:basedOn w:val="8"/>
    <w:link w:val="21"/>
    <w:unhideWhenUsed/>
    <w:qFormat/>
    <w:uiPriority w:val="99"/>
    <w:pPr>
      <w:spacing w:after="120"/>
    </w:pPr>
  </w:style>
  <w:style w:type="paragraph" w:customStyle="1" w:styleId="8">
    <w:name w:val="First Paragraph"/>
    <w:basedOn w:val="1"/>
    <w:next w:val="7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9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0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000FF"/>
      <w:u w:val="single"/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正文文本 字符"/>
    <w:basedOn w:val="18"/>
    <w:link w:val="7"/>
    <w:qFormat/>
    <w:uiPriority w:val="99"/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4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5">
    <w:name w:val="标题 1 字符"/>
    <w:basedOn w:val="18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6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7">
    <w:name w:val="批注文字 字符"/>
    <w:basedOn w:val="18"/>
    <w:link w:val="6"/>
    <w:semiHidden/>
    <w:qFormat/>
    <w:uiPriority w:val="99"/>
  </w:style>
  <w:style w:type="character" w:customStyle="1" w:styleId="28">
    <w:name w:val="批注主题 字符"/>
    <w:basedOn w:val="27"/>
    <w:link w:val="15"/>
    <w:semiHidden/>
    <w:qFormat/>
    <w:uiPriority w:val="99"/>
    <w:rPr>
      <w:b/>
      <w:bCs/>
    </w:rPr>
  </w:style>
  <w:style w:type="paragraph" w:customStyle="1" w:styleId="29">
    <w:name w:val="Compact"/>
    <w:basedOn w:val="7"/>
    <w:qFormat/>
    <w:uiPriority w:val="0"/>
    <w:pPr>
      <w:spacing w:before="60" w:after="60"/>
      <w:ind w:firstLine="0" w:firstLineChars="0"/>
    </w:pPr>
  </w:style>
  <w:style w:type="character" w:customStyle="1" w:styleId="30">
    <w:name w:val="Verbatim Char"/>
    <w:basedOn w:val="31"/>
    <w:link w:val="32"/>
    <w:qFormat/>
    <w:uiPriority w:val="0"/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题注 字符"/>
    <w:basedOn w:val="18"/>
    <w:link w:val="5"/>
    <w:qFormat/>
    <w:uiPriority w:val="0"/>
  </w:style>
  <w:style w:type="paragraph" w:customStyle="1" w:styleId="32">
    <w:name w:val="Source Code"/>
    <w:basedOn w:val="1"/>
    <w:link w:val="30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33">
    <w:name w:val="_Style 10"/>
    <w:basedOn w:val="34"/>
    <w:qFormat/>
    <w:uiPriority w:val="0"/>
  </w:style>
  <w:style w:type="table" w:customStyle="1" w:styleId="3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17</Pages>
  <Words>769</Words>
  <Characters>779</Characters>
  <Lines>9</Lines>
  <Paragraphs>2</Paragraphs>
  <TotalTime>3</TotalTime>
  <ScaleCrop>false</ScaleCrop>
  <LinksUpToDate>false</LinksUpToDate>
  <CharactersWithSpaces>891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党孚嘉</cp:lastModifiedBy>
  <cp:lastPrinted>2020-04-27T09:16:00Z</cp:lastPrinted>
  <dcterms:modified xsi:type="dcterms:W3CDTF">2026-04-25T06:42:21Z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eyJoZGlkIjoiMTIyNTkzNjY1NDY0MDhmZDU1YTU0ZGY1ODNjN2I4YTUiLCJ1c2VySWQiOiIxNjIxMzc5NzQxIn0=</vt:lpwstr>
  </property>
</Properties>
</file>