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F5A09" w14:textId="0588BA3C" w:rsidR="007E2DA0" w:rsidRPr="00D92F6A" w:rsidRDefault="00B1363E" w:rsidP="007E2DA0">
      <w:pPr>
        <w:pStyle w:val="Heading2"/>
      </w:pPr>
      <w:bookmarkStart w:id="0" w:name="_Hlk196155332"/>
      <w:r>
        <w:t>Abstract</w:t>
      </w:r>
    </w:p>
    <w:p w14:paraId="13026BBB" w14:textId="7C592721" w:rsidR="00B1363E" w:rsidRDefault="00B1363E" w:rsidP="00B1363E">
      <w:r>
        <w:t xml:space="preserve">Insurance contracts, often referred to as ‘policy wordings’, lie at the heart of insurance – a global industry with total premiums exceeding $7 trillion. Typically, these policy wordings are </w:t>
      </w:r>
      <w:r w:rsidR="00692612">
        <w:t>tens of</w:t>
      </w:r>
      <w:r>
        <w:t xml:space="preserve"> pages in length</w:t>
      </w:r>
      <w:r w:rsidR="00692612">
        <w:t>, often exceeding over one hundred pages</w:t>
      </w:r>
      <w:r>
        <w:t xml:space="preserve">, and are currently managed </w:t>
      </w:r>
      <w:r w:rsidR="00DB3D75">
        <w:t xml:space="preserve">by most insurance companies </w:t>
      </w:r>
      <w:r>
        <w:t xml:space="preserve">as monolithic, quasi-static pdf documents. </w:t>
      </w:r>
    </w:p>
    <w:p w14:paraId="6E31BFA0" w14:textId="0A2D4D12" w:rsidR="00B1363E" w:rsidRDefault="00B1363E" w:rsidP="00B1363E">
      <w:r>
        <w:t xml:space="preserve">For commercial insurance contracts, however, there is often a need to customise these wordings to satisfy the needs of individual customers, a process which is currently achieved through the application of ‘endorsements’ (or customer-specific modifications), which are detailed in a separate document known as the ‘schedule’. Therefore, the only way to fully interpret the policy wording is to consult </w:t>
      </w:r>
      <w:r w:rsidR="009A5544">
        <w:t>the schedule</w:t>
      </w:r>
      <w:r>
        <w:t xml:space="preserve"> and engage in a process of information reconciliation. </w:t>
      </w:r>
    </w:p>
    <w:p w14:paraId="375583D9" w14:textId="1410B398" w:rsidR="00B1363E" w:rsidRDefault="00B1363E" w:rsidP="00B1363E">
      <w:r>
        <w:t>Using structured authoring approaches with semantic enrichment, the policy wordings could be transformed into dynamic, customisable objects with greater level</w:t>
      </w:r>
      <w:r w:rsidR="009A5544">
        <w:t>s</w:t>
      </w:r>
      <w:r>
        <w:t xml:space="preserve"> of ‘computability’, thereby paving the way towards a more robust, digital future for</w:t>
      </w:r>
      <w:r w:rsidR="00692612">
        <w:t xml:space="preserve"> the</w:t>
      </w:r>
      <w:r>
        <w:t xml:space="preserve"> insurance</w:t>
      </w:r>
      <w:r w:rsidR="00692612">
        <w:t xml:space="preserve"> industry</w:t>
      </w:r>
      <w:r>
        <w:t xml:space="preserve"> with greater levels of structured data. This paper concerns the</w:t>
      </w:r>
      <w:r w:rsidR="00472E16">
        <w:t xml:space="preserve"> context and</w:t>
      </w:r>
      <w:r>
        <w:t xml:space="preserve"> </w:t>
      </w:r>
      <w:r w:rsidR="00FB726D">
        <w:t xml:space="preserve">initial </w:t>
      </w:r>
      <w:r>
        <w:t xml:space="preserve">development of </w:t>
      </w:r>
      <w:proofErr w:type="spellStart"/>
      <w:r>
        <w:t>InsurML</w:t>
      </w:r>
      <w:proofErr w:type="spellEnd"/>
      <w:r>
        <w:t xml:space="preserve">, an XML markup language </w:t>
      </w:r>
      <w:r w:rsidR="00DB3D75">
        <w:t>that is being</w:t>
      </w:r>
      <w:r w:rsidR="00472E16">
        <w:t xml:space="preserve"> </w:t>
      </w:r>
      <w:r>
        <w:t xml:space="preserve">designed specifically for the creating </w:t>
      </w:r>
      <w:r w:rsidR="009A5544">
        <w:t>computable contracts</w:t>
      </w:r>
      <w:r w:rsidR="009A5544" w:rsidRPr="009A5544">
        <w:t xml:space="preserve"> </w:t>
      </w:r>
      <w:r w:rsidR="009A5544">
        <w:t>for commercial insurance</w:t>
      </w:r>
      <w:r w:rsidR="00DB3D75">
        <w:t>. With strong industry commitment and funding f</w:t>
      </w:r>
      <w:r w:rsidR="00176F2D">
        <w:t>ro</w:t>
      </w:r>
      <w:r w:rsidR="00DB3D75">
        <w:t xml:space="preserve">m major players, the ambition is to establish </w:t>
      </w:r>
      <w:proofErr w:type="spellStart"/>
      <w:r w:rsidR="00DB3D75">
        <w:t>InsurML</w:t>
      </w:r>
      <w:proofErr w:type="spellEnd"/>
      <w:r w:rsidR="00DB3D75">
        <w:t xml:space="preserve"> as an industry standard. </w:t>
      </w:r>
    </w:p>
    <w:bookmarkEnd w:id="0"/>
    <w:p w14:paraId="7D563BC8" w14:textId="77777777" w:rsidR="007E2DA0" w:rsidRPr="00A31124" w:rsidRDefault="007E2DA0" w:rsidP="007E2DA0"/>
    <w:p w14:paraId="481E182D" w14:textId="3D5F6900" w:rsidR="00A31124" w:rsidRPr="00D92F6A" w:rsidRDefault="00145F42" w:rsidP="00A31124">
      <w:pPr>
        <w:pStyle w:val="Heading2"/>
      </w:pPr>
      <w:bookmarkStart w:id="1" w:name="_fek8771iu0mj" w:colFirst="0" w:colLast="0"/>
      <w:bookmarkEnd w:id="1"/>
      <w:r>
        <w:t xml:space="preserve">1. </w:t>
      </w:r>
      <w:r w:rsidR="00A31124">
        <w:t>Introduction</w:t>
      </w:r>
    </w:p>
    <w:p w14:paraId="0D8AD6B6" w14:textId="608D48FC" w:rsidR="00A31124" w:rsidRPr="00A31124" w:rsidRDefault="00A31124" w:rsidP="00A31124">
      <w:r w:rsidRPr="00A31124">
        <w:t xml:space="preserve">Creating a digital future for the insurance industry has been a strategic imperative now for over two decades. However, despite </w:t>
      </w:r>
      <w:r w:rsidR="00F217DB" w:rsidRPr="00A31124">
        <w:t>all</w:t>
      </w:r>
      <w:r w:rsidRPr="00A31124">
        <w:t xml:space="preserve"> the progress that has been made, and </w:t>
      </w:r>
      <w:r w:rsidR="00F217DB" w:rsidRPr="00A31124">
        <w:t>all</w:t>
      </w:r>
      <w:r w:rsidRPr="00A31124">
        <w:t xml:space="preserve"> the digital solutions that have been deployed, this future has still not really happened. In short, the fundamental requirements </w:t>
      </w:r>
      <w:r w:rsidR="00DB3D75">
        <w:t xml:space="preserve">for the digitalisation of contracts </w:t>
      </w:r>
      <w:r w:rsidRPr="00A31124">
        <w:t>have not been properly addressed, and until they are, a true digital transformation of the insurance industry will lie beyond our reach (Cummins, 2020</w:t>
      </w:r>
      <w:r>
        <w:rPr>
          <w:rStyle w:val="FootnoteReference"/>
        </w:rPr>
        <w:footnoteReference w:id="1"/>
      </w:r>
      <w:r w:rsidRPr="00A31124">
        <w:t>). </w:t>
      </w:r>
    </w:p>
    <w:p w14:paraId="38226B20" w14:textId="729700CF" w:rsidR="00A31124" w:rsidRDefault="00A31124" w:rsidP="00A31124">
      <w:r w:rsidRPr="00A31124">
        <w:t xml:space="preserve">An insurance policy is essentially a contract that promises to indemnify the holder in the event of loss. </w:t>
      </w:r>
      <w:r w:rsidR="003748E4" w:rsidRPr="00A31124">
        <w:t>Most of</w:t>
      </w:r>
      <w:r w:rsidR="002B54A3">
        <w:t xml:space="preserve"> the contractual </w:t>
      </w:r>
      <w:r w:rsidRPr="00A31124">
        <w:t xml:space="preserve">details are contained in the policy wording, usually a monolithic document that </w:t>
      </w:r>
      <w:r w:rsidR="00692612">
        <w:t>can</w:t>
      </w:r>
      <w:r w:rsidRPr="00A31124">
        <w:t xml:space="preserve"> often </w:t>
      </w:r>
      <w:r w:rsidR="00692612">
        <w:t xml:space="preserve">be </w:t>
      </w:r>
      <w:r w:rsidRPr="00A31124">
        <w:t>over one hundred pages in length, and in the schedule, which itself may be considered as a</w:t>
      </w:r>
      <w:r w:rsidR="00DB3D75">
        <w:t xml:space="preserve"> proxy for a</w:t>
      </w:r>
      <w:r w:rsidRPr="00A31124">
        <w:t xml:space="preserve"> summary of the contract. </w:t>
      </w:r>
      <w:r w:rsidR="002B54A3">
        <w:t xml:space="preserve">A general description of </w:t>
      </w:r>
      <w:r>
        <w:t>each of these fundamental objects is shown in Figure</w:t>
      </w:r>
      <w:r w:rsidR="00692612">
        <w:t xml:space="preserve"> 1</w:t>
      </w:r>
      <w:r>
        <w:t xml:space="preserve">. </w:t>
      </w:r>
    </w:p>
    <w:p w14:paraId="7C05564F" w14:textId="77777777" w:rsidR="00A31124" w:rsidRPr="00A31124" w:rsidRDefault="00A31124" w:rsidP="00A31124">
      <w:pPr>
        <w:spacing w:after="0"/>
      </w:pPr>
    </w:p>
    <w:p w14:paraId="54863A29" w14:textId="2A5335A9" w:rsidR="00F52A7A" w:rsidRDefault="00692612" w:rsidP="00A31124">
      <w:pPr>
        <w:rPr>
          <w:color w:val="000000"/>
        </w:rPr>
      </w:pPr>
      <w:r w:rsidRPr="00692612">
        <w:rPr>
          <w:noProof/>
        </w:rPr>
        <w:drawing>
          <wp:inline distT="0" distB="0" distL="0" distR="0" wp14:anchorId="19F9D033" wp14:editId="54E9A8DB">
            <wp:extent cx="6677660" cy="1898650"/>
            <wp:effectExtent l="0" t="0" r="8890" b="6350"/>
            <wp:docPr id="11045650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77660" cy="1898650"/>
                    </a:xfrm>
                    <a:prstGeom prst="rect">
                      <a:avLst/>
                    </a:prstGeom>
                    <a:noFill/>
                    <a:ln>
                      <a:noFill/>
                    </a:ln>
                  </pic:spPr>
                </pic:pic>
              </a:graphicData>
            </a:graphic>
          </wp:inline>
        </w:drawing>
      </w:r>
    </w:p>
    <w:p w14:paraId="1B2F501E" w14:textId="41B193FD" w:rsidR="00A31124" w:rsidRDefault="00A31124" w:rsidP="00A31124">
      <w:pPr>
        <w:rPr>
          <w:color w:val="000000"/>
        </w:rPr>
      </w:pPr>
      <w:r>
        <w:rPr>
          <w:color w:val="000000"/>
        </w:rPr>
        <w:t>Figure 1. The two principal insurance contract objects: the policy schedule and the policy wording.</w:t>
      </w:r>
    </w:p>
    <w:p w14:paraId="589AB283" w14:textId="595E6DE7" w:rsidR="00A31124" w:rsidRDefault="00DD73F3" w:rsidP="00A31124">
      <w:pPr>
        <w:rPr>
          <w:color w:val="000000"/>
        </w:rPr>
      </w:pPr>
      <w:r>
        <w:rPr>
          <w:color w:val="000000"/>
        </w:rPr>
        <w:lastRenderedPageBreak/>
        <w:t xml:space="preserve">All the details contained in the policy schedule are stored as structured data in a policy administration system (PAS), while the policy wording itself is stored as a pdf, either on the PAS or elsewhere. It is important to recognise therefore that the policy wording is essentially an inert object that contributes nothing </w:t>
      </w:r>
      <w:r w:rsidR="00692612">
        <w:rPr>
          <w:color w:val="000000"/>
        </w:rPr>
        <w:t>(other than</w:t>
      </w:r>
      <w:r w:rsidR="00DB3D75">
        <w:rPr>
          <w:color w:val="000000"/>
        </w:rPr>
        <w:t xml:space="preserve"> performing the function as</w:t>
      </w:r>
      <w:r w:rsidR="00692612">
        <w:rPr>
          <w:color w:val="000000"/>
        </w:rPr>
        <w:t xml:space="preserve"> an accompanying reference document) </w:t>
      </w:r>
      <w:r>
        <w:rPr>
          <w:color w:val="000000"/>
        </w:rPr>
        <w:t xml:space="preserve">to the structured and dynamic dataset </w:t>
      </w:r>
      <w:r w:rsidR="00692612">
        <w:rPr>
          <w:color w:val="000000"/>
        </w:rPr>
        <w:t>pertaining</w:t>
      </w:r>
      <w:r>
        <w:rPr>
          <w:color w:val="000000"/>
        </w:rPr>
        <w:t xml:space="preserve"> to the schedule. </w:t>
      </w:r>
    </w:p>
    <w:p w14:paraId="418F90CC" w14:textId="69EAF229" w:rsidR="00DD73F3" w:rsidRDefault="003C5CDA" w:rsidP="00A31124">
      <w:pPr>
        <w:rPr>
          <w:color w:val="000000"/>
        </w:rPr>
      </w:pPr>
      <w:r>
        <w:rPr>
          <w:color w:val="000000"/>
        </w:rPr>
        <w:t xml:space="preserve">In their current form, the policy wordings of today suffer from </w:t>
      </w:r>
      <w:r w:rsidR="00BF2545">
        <w:rPr>
          <w:color w:val="000000"/>
        </w:rPr>
        <w:t>three</w:t>
      </w:r>
      <w:r>
        <w:rPr>
          <w:color w:val="000000"/>
        </w:rPr>
        <w:t xml:space="preserve"> major shortcomings:</w:t>
      </w:r>
    </w:p>
    <w:p w14:paraId="0D5814EB" w14:textId="53540770" w:rsidR="003C5CDA" w:rsidRDefault="003C5CDA" w:rsidP="003C5CDA">
      <w:pPr>
        <w:pStyle w:val="ListParagraph"/>
        <w:numPr>
          <w:ilvl w:val="0"/>
          <w:numId w:val="4"/>
        </w:numPr>
        <w:rPr>
          <w:color w:val="000000"/>
        </w:rPr>
      </w:pPr>
      <w:r>
        <w:rPr>
          <w:color w:val="000000"/>
        </w:rPr>
        <w:t xml:space="preserve">First, they are managed as stand-alone objects with little (if any) application of </w:t>
      </w:r>
      <w:r w:rsidR="00E07CAE">
        <w:rPr>
          <w:color w:val="000000"/>
        </w:rPr>
        <w:t xml:space="preserve">component </w:t>
      </w:r>
      <w:r>
        <w:rPr>
          <w:color w:val="000000"/>
        </w:rPr>
        <w:t>reusability. Consequently, the same intended coverages may differ across the full set of products</w:t>
      </w:r>
      <w:r w:rsidR="00E07CAE">
        <w:rPr>
          <w:color w:val="000000"/>
        </w:rPr>
        <w:t>, simply because they have evolved separately</w:t>
      </w:r>
      <w:r>
        <w:rPr>
          <w:color w:val="000000"/>
        </w:rPr>
        <w:t xml:space="preserve">. This makes the process of updating policy wordings an expensive and time-consuming process. </w:t>
      </w:r>
    </w:p>
    <w:p w14:paraId="3DEE2A58" w14:textId="2FC3FCC4" w:rsidR="003C5CDA" w:rsidRDefault="003C5CDA" w:rsidP="003C5CDA">
      <w:pPr>
        <w:pStyle w:val="ListParagraph"/>
        <w:numPr>
          <w:ilvl w:val="0"/>
          <w:numId w:val="4"/>
        </w:numPr>
        <w:rPr>
          <w:color w:val="000000"/>
        </w:rPr>
      </w:pPr>
      <w:r>
        <w:rPr>
          <w:color w:val="000000"/>
        </w:rPr>
        <w:t>Second, they are static documents, and it is often the case that only parts of the policy wording will apply to individual customers, while the remainder is irrelevant</w:t>
      </w:r>
      <w:r w:rsidR="00D01D09">
        <w:rPr>
          <w:color w:val="000000"/>
        </w:rPr>
        <w:t xml:space="preserve"> (or even </w:t>
      </w:r>
      <w:r w:rsidR="00E07CAE">
        <w:rPr>
          <w:color w:val="000000"/>
        </w:rPr>
        <w:t>in contradiction with the schedule</w:t>
      </w:r>
      <w:r w:rsidR="00D01D09">
        <w:rPr>
          <w:color w:val="000000"/>
        </w:rPr>
        <w:t>)</w:t>
      </w:r>
      <w:r>
        <w:rPr>
          <w:color w:val="000000"/>
        </w:rPr>
        <w:t>. The schedule performs the dynamic function of customising (</w:t>
      </w:r>
      <w:r w:rsidR="00D01D09">
        <w:rPr>
          <w:color w:val="000000"/>
        </w:rPr>
        <w:t>and</w:t>
      </w:r>
      <w:r>
        <w:rPr>
          <w:color w:val="000000"/>
        </w:rPr>
        <w:t xml:space="preserve"> overriding) the policy wording through ‘</w:t>
      </w:r>
      <w:proofErr w:type="gramStart"/>
      <w:r>
        <w:rPr>
          <w:color w:val="000000"/>
        </w:rPr>
        <w:t>endorsements’</w:t>
      </w:r>
      <w:proofErr w:type="gramEnd"/>
      <w:r>
        <w:rPr>
          <w:color w:val="000000"/>
        </w:rPr>
        <w:t>. Crucially, it may not be entirely clear to customers as to whether they have coverage against certain losses, simply because the process of reconciling the policy schedule with any endorsements and the policy wording</w:t>
      </w:r>
      <w:r w:rsidR="00D01D09">
        <w:rPr>
          <w:color w:val="000000"/>
        </w:rPr>
        <w:t xml:space="preserve"> can be </w:t>
      </w:r>
      <w:r w:rsidR="00DB3D75">
        <w:rPr>
          <w:color w:val="000000"/>
        </w:rPr>
        <w:t xml:space="preserve">extremely </w:t>
      </w:r>
      <w:r w:rsidR="00D01D09">
        <w:rPr>
          <w:color w:val="000000"/>
        </w:rPr>
        <w:t>challenging</w:t>
      </w:r>
      <w:r>
        <w:rPr>
          <w:color w:val="000000"/>
        </w:rPr>
        <w:t xml:space="preserve">. </w:t>
      </w:r>
    </w:p>
    <w:p w14:paraId="7268FD7D" w14:textId="0A57A29D" w:rsidR="00BF2545" w:rsidRPr="003C5CDA" w:rsidRDefault="00BF2545" w:rsidP="003C5CDA">
      <w:pPr>
        <w:pStyle w:val="ListParagraph"/>
        <w:numPr>
          <w:ilvl w:val="0"/>
          <w:numId w:val="4"/>
        </w:numPr>
        <w:rPr>
          <w:color w:val="000000"/>
        </w:rPr>
      </w:pPr>
      <w:r>
        <w:rPr>
          <w:color w:val="000000"/>
        </w:rPr>
        <w:t xml:space="preserve">Third, the scope for supporting data analytics </w:t>
      </w:r>
      <w:r w:rsidR="00D01D09">
        <w:rPr>
          <w:color w:val="000000"/>
        </w:rPr>
        <w:t xml:space="preserve">or automation for a variety of purposes </w:t>
      </w:r>
      <w:r>
        <w:rPr>
          <w:color w:val="000000"/>
        </w:rPr>
        <w:t xml:space="preserve">is limited. In their natural language (unstructured data) form without semantic richness or associated metadata, the policy wordings can only be analysed using natural language processing, and more recently, generative AI. Adopting structured data approaches to policy wordings will increase the level of computability and will enhance the performance of data analytics </w:t>
      </w:r>
      <w:r w:rsidR="00D01D09">
        <w:rPr>
          <w:color w:val="000000"/>
        </w:rPr>
        <w:t xml:space="preserve">and levels of automation </w:t>
      </w:r>
      <w:r>
        <w:rPr>
          <w:color w:val="000000"/>
        </w:rPr>
        <w:t>for both individual contracts and bodies of contracts.</w:t>
      </w:r>
    </w:p>
    <w:p w14:paraId="16C0640C" w14:textId="77777777" w:rsidR="003C5CDA" w:rsidRDefault="003C5CDA" w:rsidP="00FB726D">
      <w:pPr>
        <w:pStyle w:val="Heading2"/>
      </w:pPr>
    </w:p>
    <w:p w14:paraId="5E169C12" w14:textId="2AB32551" w:rsidR="00BF2545" w:rsidRPr="00D92F6A" w:rsidRDefault="00145F42" w:rsidP="00BF2545">
      <w:pPr>
        <w:pStyle w:val="Heading2"/>
      </w:pPr>
      <w:r>
        <w:t xml:space="preserve">2. </w:t>
      </w:r>
      <w:r w:rsidR="00BF2545">
        <w:t>Increasing the Computability of Insurance Contracts</w:t>
      </w:r>
    </w:p>
    <w:p w14:paraId="518FB81C" w14:textId="09FE2539" w:rsidR="00D01D09" w:rsidRDefault="00E07CAE" w:rsidP="00BF2545">
      <w:r>
        <w:t>The main objective here is to m</w:t>
      </w:r>
      <w:r w:rsidR="00D01D09">
        <w:t>ak</w:t>
      </w:r>
      <w:r>
        <w:t>e</w:t>
      </w:r>
      <w:r w:rsidR="00D01D09">
        <w:t xml:space="preserve"> </w:t>
      </w:r>
      <w:r>
        <w:t xml:space="preserve">commercial insurance </w:t>
      </w:r>
      <w:r w:rsidR="00D01D09">
        <w:t>contracts more computable</w:t>
      </w:r>
      <w:r>
        <w:t>. This goal</w:t>
      </w:r>
      <w:r w:rsidR="00D01D09">
        <w:t xml:space="preserve"> can be considered within the context of a ‘contract innovation landscape</w:t>
      </w:r>
      <w:r w:rsidR="00D01D09">
        <w:rPr>
          <w:rStyle w:val="FootnoteReference"/>
        </w:rPr>
        <w:footnoteReference w:id="2"/>
      </w:r>
      <w:r w:rsidR="00D01D09">
        <w:t xml:space="preserve">’, shown in Figure 2. </w:t>
      </w:r>
    </w:p>
    <w:p w14:paraId="35EBDB34" w14:textId="6FBE7F5E" w:rsidR="00D01D09" w:rsidRDefault="00D01D09" w:rsidP="00BF2545">
      <w:r>
        <w:t>This two-dimensional landscape is created based on</w:t>
      </w:r>
      <w:r w:rsidR="00E07CAE">
        <w:t xml:space="preserve"> the</w:t>
      </w:r>
      <w:r>
        <w:t>:</w:t>
      </w:r>
    </w:p>
    <w:p w14:paraId="616FC6E3" w14:textId="7280AF4E" w:rsidR="00D01D09" w:rsidRDefault="00D01D09" w:rsidP="00D01D09">
      <w:pPr>
        <w:pStyle w:val="ListParagraph"/>
        <w:numPr>
          <w:ilvl w:val="0"/>
          <w:numId w:val="5"/>
        </w:numPr>
      </w:pPr>
      <w:r w:rsidRPr="00D01D09">
        <w:rPr>
          <w:b/>
          <w:bCs/>
        </w:rPr>
        <w:t>Extent of contract modularisation</w:t>
      </w:r>
      <w:r>
        <w:t xml:space="preserve">, essentially </w:t>
      </w:r>
      <w:r w:rsidR="00E07CAE">
        <w:t xml:space="preserve">breaking the contract down into smaller components, thus </w:t>
      </w:r>
      <w:r>
        <w:t>creating the foundations for dynamic contract configuration.</w:t>
      </w:r>
    </w:p>
    <w:p w14:paraId="14BAE856" w14:textId="6E6277D7" w:rsidR="00D01D09" w:rsidRPr="00D01D09" w:rsidRDefault="00D01D09" w:rsidP="00D01D09">
      <w:pPr>
        <w:pStyle w:val="ListParagraph"/>
        <w:numPr>
          <w:ilvl w:val="0"/>
          <w:numId w:val="5"/>
        </w:numPr>
      </w:pPr>
      <w:r>
        <w:rPr>
          <w:b/>
          <w:bCs/>
        </w:rPr>
        <w:t xml:space="preserve">Extent of contract computability </w:t>
      </w:r>
      <w:r w:rsidRPr="00D01D09">
        <w:t>through</w:t>
      </w:r>
      <w:r>
        <w:t xml:space="preserve"> </w:t>
      </w:r>
      <w:r w:rsidR="00E07CAE">
        <w:t xml:space="preserve">building </w:t>
      </w:r>
      <w:r>
        <w:t>a formal</w:t>
      </w:r>
      <w:r w:rsidRPr="00D01D09">
        <w:t xml:space="preserve"> </w:t>
      </w:r>
      <w:r>
        <w:t xml:space="preserve">(or machine readable) </w:t>
      </w:r>
      <w:r w:rsidRPr="00D01D09">
        <w:t>represent</w:t>
      </w:r>
      <w:r>
        <w:t>ation of</w:t>
      </w:r>
      <w:r w:rsidRPr="00D01D09">
        <w:t xml:space="preserve"> the contract. </w:t>
      </w:r>
    </w:p>
    <w:p w14:paraId="36A049B9" w14:textId="3D1952DA" w:rsidR="00D01D09" w:rsidRDefault="00D01D09" w:rsidP="00BF2545">
      <w:r>
        <w:t>Starting in the bottom left-hand corner</w:t>
      </w:r>
      <w:r w:rsidR="00A25F67">
        <w:t xml:space="preserve"> of the contract innovation landscape</w:t>
      </w:r>
      <w:r>
        <w:t xml:space="preserve">, it is argued that most (and if not all) policy wordings in the commercial insurance space occupy this quadrant. </w:t>
      </w:r>
      <w:r w:rsidR="00A25F67">
        <w:t>Policy wordings</w:t>
      </w:r>
      <w:r>
        <w:t xml:space="preserve"> are stored as monolithic objects in pdf or Microsoft word format, often with little content management discipline. </w:t>
      </w:r>
    </w:p>
    <w:p w14:paraId="4254D200" w14:textId="287642E7" w:rsidR="00D01D09" w:rsidRDefault="00D01D09" w:rsidP="00BF2545">
      <w:r>
        <w:t xml:space="preserve">Most of the contract innovation to date, and </w:t>
      </w:r>
      <w:r w:rsidR="00A25F67">
        <w:t>particularly</w:t>
      </w:r>
      <w:r>
        <w:t xml:space="preserve"> in the insurance space, has taken the form of ‘automating around the contract’ </w:t>
      </w:r>
      <w:proofErr w:type="gramStart"/>
      <w:r>
        <w:t>in order to</w:t>
      </w:r>
      <w:proofErr w:type="gramEnd"/>
      <w:r>
        <w:t xml:space="preserve"> increase levels of computability (shown as </w:t>
      </w:r>
      <w:r w:rsidR="009B32B8">
        <w:t xml:space="preserve">transition </w:t>
      </w:r>
      <w:r>
        <w:t>‘1’ in Figure 2). Importantly, the increased computability is achieved through building a largely separate representation of the contract. A good example here are smart contracts, essentially pieces of computer code that enable the performance of parts of the contract to be undertaken e.g. monthly payments</w:t>
      </w:r>
      <w:r w:rsidR="009B32B8">
        <w:t xml:space="preserve"> on an </w:t>
      </w:r>
      <w:r w:rsidR="009B32B8">
        <w:lastRenderedPageBreak/>
        <w:t>automatic basis</w:t>
      </w:r>
      <w:r>
        <w:t xml:space="preserve">. </w:t>
      </w:r>
      <w:r w:rsidR="009B32B8">
        <w:t>One could argue that direct debit payments are smart contracts, a technology that has been around for decades.</w:t>
      </w:r>
    </w:p>
    <w:p w14:paraId="42E51855" w14:textId="0BBBBB9B" w:rsidR="00B40478" w:rsidRDefault="00A25F67" w:rsidP="00BF2545">
      <w:r>
        <w:t xml:space="preserve">The ’hard yards’ of increasing contract modularity (i.e. moving from the bottom-left to the bottom-right quadrant) have yet to be </w:t>
      </w:r>
      <w:r w:rsidR="009B32B8">
        <w:t>taken</w:t>
      </w:r>
      <w:r>
        <w:t xml:space="preserve"> by </w:t>
      </w:r>
      <w:r w:rsidR="00DB3D75">
        <w:t xml:space="preserve">most companies in </w:t>
      </w:r>
      <w:r>
        <w:t xml:space="preserve">the insurance </w:t>
      </w:r>
      <w:r w:rsidR="009B32B8">
        <w:t>industry</w:t>
      </w:r>
      <w:r>
        <w:t>. The monolithic nature of policy wordings means than contract component reusability rarely happens and that the updating of policy wordings (even for very minor changes</w:t>
      </w:r>
      <w:r w:rsidR="009B32B8">
        <w:t xml:space="preserve"> such as an address</w:t>
      </w:r>
      <w:r>
        <w:t xml:space="preserve">) is extremely inefficient. Where modular approaches are adopted in commercial insurance, the level of granularity tends to be low i.e. the modular objects are still relatively large in terms of the amount of content. </w:t>
      </w:r>
    </w:p>
    <w:p w14:paraId="64E136D2" w14:textId="27B742FA" w:rsidR="00D01D09" w:rsidRDefault="00DB3D75" w:rsidP="00BF2545">
      <w:pPr>
        <w:rPr>
          <w:color w:val="000000"/>
        </w:rPr>
      </w:pPr>
      <w:r w:rsidRPr="00DB3D75">
        <w:drawing>
          <wp:inline distT="0" distB="0" distL="0" distR="0" wp14:anchorId="0D34E92A" wp14:editId="270DCC4B">
            <wp:extent cx="6677660" cy="4093845"/>
            <wp:effectExtent l="0" t="0" r="8890" b="1905"/>
            <wp:docPr id="1338325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77660" cy="4093845"/>
                    </a:xfrm>
                    <a:prstGeom prst="rect">
                      <a:avLst/>
                    </a:prstGeom>
                    <a:noFill/>
                    <a:ln>
                      <a:noFill/>
                    </a:ln>
                  </pic:spPr>
                </pic:pic>
              </a:graphicData>
            </a:graphic>
          </wp:inline>
        </w:drawing>
      </w:r>
    </w:p>
    <w:p w14:paraId="5174ED53" w14:textId="3D167456" w:rsidR="00B40478" w:rsidRPr="00AD6922" w:rsidRDefault="00B40478" w:rsidP="00BF2545">
      <w:pPr>
        <w:rPr>
          <w:color w:val="000000"/>
        </w:rPr>
      </w:pPr>
      <w:r>
        <w:rPr>
          <w:color w:val="000000"/>
        </w:rPr>
        <w:t>Figure 2. The Contract Innovation Landscape</w:t>
      </w:r>
    </w:p>
    <w:p w14:paraId="4A823CE6" w14:textId="51F603E4" w:rsidR="00B40478" w:rsidRDefault="00B40478" w:rsidP="00BF2545">
      <w:r>
        <w:t xml:space="preserve">The top-right quadrant is the home of computable contracts, and where the contract object and its digital representation are one and the same thing. Keeping the ‘contract close to the code’ means that there is a greater guarantee that any automated functions will be faithful to the intent of the contract. </w:t>
      </w:r>
      <w:r w:rsidR="009B32B8">
        <w:t>It should be noted that the optimal path to computable contracts in insurance is transition 2 followed by transition 3.</w:t>
      </w:r>
    </w:p>
    <w:p w14:paraId="685CE87D" w14:textId="77777777" w:rsidR="00B40478" w:rsidRDefault="00B40478" w:rsidP="00BF2545"/>
    <w:p w14:paraId="7E404704" w14:textId="57DE33B3" w:rsidR="00B40478" w:rsidRPr="00D92F6A" w:rsidRDefault="00145F42" w:rsidP="00B40478">
      <w:pPr>
        <w:pStyle w:val="Heading2"/>
      </w:pPr>
      <w:r>
        <w:t xml:space="preserve">3. </w:t>
      </w:r>
      <w:r w:rsidR="00B40478">
        <w:t xml:space="preserve">The </w:t>
      </w:r>
      <w:r w:rsidR="008E32FB">
        <w:t>Nature (</w:t>
      </w:r>
      <w:r w:rsidR="00B40478">
        <w:t xml:space="preserve">Intent </w:t>
      </w:r>
      <w:r w:rsidR="008E32FB">
        <w:t xml:space="preserve">and Content) </w:t>
      </w:r>
      <w:r w:rsidR="00B40478">
        <w:t>of Insurance Contracts</w:t>
      </w:r>
    </w:p>
    <w:p w14:paraId="4ED56659" w14:textId="7885AA11" w:rsidR="00285F96" w:rsidRPr="00285F96" w:rsidRDefault="00285F96" w:rsidP="00285F96">
      <w:pPr>
        <w:rPr>
          <w:color w:val="0000FF"/>
        </w:rPr>
      </w:pPr>
      <w:r>
        <w:t xml:space="preserve">Making an insurance contract computable requires a solid understanding of its constituent parts and how they operate together </w:t>
      </w:r>
      <w:r w:rsidR="009B32B8">
        <w:t>to</w:t>
      </w:r>
      <w:r>
        <w:t xml:space="preserve"> establish the overall function of expressing coverage against loss. A visual representation of an insurance contract</w:t>
      </w:r>
      <w:r>
        <w:rPr>
          <w:rStyle w:val="FootnoteReference"/>
        </w:rPr>
        <w:footnoteReference w:id="3"/>
      </w:r>
      <w:r>
        <w:t xml:space="preserve"> (shown in Figure 3) may help to promote this understanding. </w:t>
      </w:r>
    </w:p>
    <w:p w14:paraId="297F9D6C" w14:textId="60EF9A2B" w:rsidR="00285F96" w:rsidRPr="00285F96" w:rsidRDefault="00285F96" w:rsidP="00285F96">
      <w:pPr>
        <w:rPr>
          <w:rFonts w:ascii="Times New Roman" w:eastAsia="Times New Roman" w:hAnsi="Times New Roman" w:cs="Times New Roman"/>
          <w:i/>
          <w:color w:val="FF0000"/>
          <w:sz w:val="20"/>
          <w:szCs w:val="20"/>
        </w:rPr>
      </w:pPr>
      <w:r>
        <w:lastRenderedPageBreak/>
        <w:t xml:space="preserve">At the heart of an insurance contract lies the </w:t>
      </w:r>
      <w:r w:rsidRPr="00285F96">
        <w:rPr>
          <w:b/>
          <w:iCs/>
        </w:rPr>
        <w:t>insuring clause</w:t>
      </w:r>
      <w:r>
        <w:t xml:space="preserve">, which describes </w:t>
      </w:r>
      <w:r w:rsidRPr="00285F96">
        <w:rPr>
          <w:color w:val="auto"/>
        </w:rPr>
        <w:t xml:space="preserve">the core coverage </w:t>
      </w:r>
      <w:r>
        <w:t xml:space="preserve">offered to the insured. This is shown in Figure </w:t>
      </w:r>
      <w:r w:rsidRPr="00285F96">
        <w:t>3</w:t>
      </w:r>
      <w:r>
        <w:t xml:space="preserve"> </w:t>
      </w:r>
      <w:r w:rsidRPr="00285F96">
        <w:t>with</w:t>
      </w:r>
      <w:r>
        <w:t xml:space="preserve"> ‘I’ as the basic set (or scope) of coverage</w:t>
      </w:r>
      <w:r w:rsidR="009B32B8">
        <w:t>.</w:t>
      </w:r>
      <w:r>
        <w:rPr>
          <w:rFonts w:ascii="Times New Roman" w:eastAsia="Times New Roman" w:hAnsi="Times New Roman" w:cs="Times New Roman"/>
          <w:i/>
          <w:color w:val="FF0000"/>
          <w:sz w:val="20"/>
          <w:szCs w:val="20"/>
        </w:rPr>
        <w:t xml:space="preserve">  </w:t>
      </w:r>
      <w:r>
        <w:t>Th</w:t>
      </w:r>
      <w:r w:rsidR="009B32B8">
        <w:t>is</w:t>
      </w:r>
      <w:r>
        <w:t xml:space="preserve"> scope of coverage expressed by the insuring clause is often modified </w:t>
      </w:r>
      <w:r w:rsidR="009B32B8">
        <w:t>using</w:t>
      </w:r>
      <w:r>
        <w:t xml:space="preserve"> </w:t>
      </w:r>
      <w:r w:rsidRPr="00285F96">
        <w:rPr>
          <w:b/>
          <w:iCs/>
        </w:rPr>
        <w:t>coverage extensions</w:t>
      </w:r>
      <w:r>
        <w:rPr>
          <w:b/>
          <w:i/>
        </w:rPr>
        <w:t xml:space="preserve"> </w:t>
      </w:r>
      <w:r>
        <w:t>(denoted by C in the Figure</w:t>
      </w:r>
      <w:r>
        <w:rPr>
          <w:highlight w:val="white"/>
        </w:rPr>
        <w:t>)</w:t>
      </w:r>
      <w:r>
        <w:t>. These extensions are additional coverages</w:t>
      </w:r>
      <w:r w:rsidRPr="00285F96">
        <w:rPr>
          <w:color w:val="auto"/>
        </w:rPr>
        <w:t xml:space="preserve"> beyond the scope of the </w:t>
      </w:r>
      <w:r w:rsidR="00DB3D75">
        <w:rPr>
          <w:color w:val="auto"/>
        </w:rPr>
        <w:t>core</w:t>
      </w:r>
      <w:r w:rsidRPr="00285F96">
        <w:rPr>
          <w:color w:val="auto"/>
        </w:rPr>
        <w:t xml:space="preserve"> insuring clause</w:t>
      </w:r>
      <w:r>
        <w:t xml:space="preserve">, </w:t>
      </w:r>
      <w:r w:rsidRPr="00285F96">
        <w:rPr>
          <w:color w:val="auto"/>
        </w:rPr>
        <w:t xml:space="preserve">defined by additional clauses in the contract. They may be offered as standard, or on an optional basis, in which case their selection may result in an increase in the premium. </w:t>
      </w:r>
    </w:p>
    <w:p w14:paraId="1F82D62A" w14:textId="77799E85" w:rsidR="00285F96" w:rsidRPr="00285F96" w:rsidRDefault="00285F96" w:rsidP="00285F96">
      <w:r w:rsidRPr="00285F96">
        <w:t xml:space="preserve">Coverages expressed by the insuring clause or coverage extension clauses are normally subject to </w:t>
      </w:r>
      <w:r w:rsidRPr="00285F96">
        <w:rPr>
          <w:b/>
          <w:iCs/>
        </w:rPr>
        <w:t>conditions</w:t>
      </w:r>
      <w:r w:rsidRPr="00285F96">
        <w:t>, which, if not met, will invalidate</w:t>
      </w:r>
      <w:r>
        <w:t xml:space="preserve"> (shown as ‘G’ in the Figure)</w:t>
      </w:r>
      <w:r w:rsidRPr="00285F96">
        <w:t xml:space="preserve"> the coverage offered by the contract and therewith the promise of indemnification. These conditions</w:t>
      </w:r>
      <w:r>
        <w:t xml:space="preserve"> </w:t>
      </w:r>
      <w:r w:rsidRPr="00285F96">
        <w:t xml:space="preserve">may be expressed locally, directly in the coverage clauses themselves, or globally, as </w:t>
      </w:r>
      <w:r w:rsidRPr="00285F96">
        <w:rPr>
          <w:b/>
          <w:iCs/>
        </w:rPr>
        <w:t>general conditions</w:t>
      </w:r>
      <w:r w:rsidRPr="00285F96">
        <w:t xml:space="preserve"> that apply to all the coverage clauses.</w:t>
      </w:r>
    </w:p>
    <w:p w14:paraId="04B92136" w14:textId="42E796B5" w:rsidR="00285F96" w:rsidRDefault="00285F96" w:rsidP="00285F96">
      <w:pPr>
        <w:rPr>
          <w:strike/>
          <w:color w:val="202124"/>
          <w:highlight w:val="white"/>
        </w:rPr>
      </w:pPr>
      <w:r>
        <w:t xml:space="preserve">Most insurance contracts also contain exclusions, which specify losses or costs of losses that are not covered by the contract (i.e. </w:t>
      </w:r>
      <w:r w:rsidRPr="00285F96">
        <w:t>areas of non-coverage</w:t>
      </w:r>
      <w:r>
        <w:t>)</w:t>
      </w:r>
      <w:r w:rsidRPr="00285F96">
        <w:t>.</w:t>
      </w:r>
      <w:r>
        <w:t xml:space="preserve"> Like coverage conditions, coverage exclusions, can be local or general and </w:t>
      </w:r>
      <w:r w:rsidR="009B32B8">
        <w:t>are</w:t>
      </w:r>
      <w:r>
        <w:t xml:space="preserve"> represented by ‘E’ in the Figure.</w:t>
      </w:r>
    </w:p>
    <w:p w14:paraId="62B16FB2" w14:textId="7D92089E" w:rsidR="00BF2545" w:rsidRPr="00285F96" w:rsidRDefault="00285F96" w:rsidP="00BF2545">
      <w:pPr>
        <w:rPr>
          <w:color w:val="auto"/>
        </w:rPr>
      </w:pPr>
      <w:r w:rsidRPr="00285F96">
        <w:rPr>
          <w:color w:val="auto"/>
          <w:highlight w:val="white"/>
        </w:rPr>
        <w:t xml:space="preserve">Finally, some exclusions may have </w:t>
      </w:r>
      <w:r w:rsidRPr="009B32B8">
        <w:rPr>
          <w:b/>
          <w:iCs/>
          <w:color w:val="auto"/>
          <w:highlight w:val="white"/>
        </w:rPr>
        <w:t>exemptions</w:t>
      </w:r>
      <w:r w:rsidRPr="00285F96">
        <w:rPr>
          <w:color w:val="auto"/>
          <w:highlight w:val="white"/>
        </w:rPr>
        <w:t xml:space="preserve">, usually expressed locally to the exclusion, using phrases </w:t>
      </w:r>
      <w:r w:rsidR="009B32B8">
        <w:rPr>
          <w:color w:val="auto"/>
          <w:highlight w:val="white"/>
        </w:rPr>
        <w:t xml:space="preserve">such </w:t>
      </w:r>
      <w:r w:rsidRPr="00285F96">
        <w:rPr>
          <w:color w:val="auto"/>
          <w:highlight w:val="white"/>
        </w:rPr>
        <w:t xml:space="preserve">as ‘except for’. These can be understood as coverages that are excluded at </w:t>
      </w:r>
      <w:proofErr w:type="gramStart"/>
      <w:r w:rsidRPr="00285F96">
        <w:rPr>
          <w:color w:val="auto"/>
          <w:highlight w:val="white"/>
        </w:rPr>
        <w:t>first, but</w:t>
      </w:r>
      <w:proofErr w:type="gramEnd"/>
      <w:r w:rsidRPr="00285F96">
        <w:rPr>
          <w:color w:val="auto"/>
          <w:highlight w:val="white"/>
        </w:rPr>
        <w:t xml:space="preserve"> then reinstated (known as ‘writebacks’ in the industry). </w:t>
      </w:r>
      <w:r w:rsidRPr="00285F96">
        <w:rPr>
          <w:color w:val="auto"/>
        </w:rPr>
        <w:t>As shown in Figure 3, the exclusion exemption, ‘</w:t>
      </w:r>
      <w:proofErr w:type="gramStart"/>
      <w:r w:rsidRPr="00285F96">
        <w:rPr>
          <w:color w:val="auto"/>
        </w:rPr>
        <w:t>C</w:t>
      </w:r>
      <w:r w:rsidRPr="00285F96">
        <w:rPr>
          <w:color w:val="auto"/>
          <w:vertAlign w:val="subscript"/>
        </w:rPr>
        <w:t>E</w:t>
      </w:r>
      <w:r w:rsidRPr="00285F96">
        <w:rPr>
          <w:color w:val="auto"/>
        </w:rPr>
        <w:t>‘ is</w:t>
      </w:r>
      <w:proofErr w:type="gramEnd"/>
      <w:r w:rsidRPr="00285F96">
        <w:rPr>
          <w:color w:val="auto"/>
        </w:rPr>
        <w:t xml:space="preserve"> shown within the general exclusion </w:t>
      </w:r>
      <w:r w:rsidR="009B32B8">
        <w:rPr>
          <w:color w:val="auto"/>
        </w:rPr>
        <w:t>‘</w:t>
      </w:r>
      <w:r w:rsidRPr="00285F96">
        <w:rPr>
          <w:color w:val="auto"/>
        </w:rPr>
        <w:t>E</w:t>
      </w:r>
      <w:r w:rsidR="009B32B8">
        <w:rPr>
          <w:color w:val="auto"/>
        </w:rPr>
        <w:t>’</w:t>
      </w:r>
      <w:r w:rsidRPr="00285F96">
        <w:rPr>
          <w:color w:val="auto"/>
        </w:rPr>
        <w:t xml:space="preserve">, which is </w:t>
      </w:r>
      <w:r w:rsidR="009B32B8">
        <w:rPr>
          <w:color w:val="auto"/>
        </w:rPr>
        <w:t>un</w:t>
      </w:r>
      <w:r w:rsidRPr="00285F96">
        <w:rPr>
          <w:color w:val="auto"/>
        </w:rPr>
        <w:t>shaded</w:t>
      </w:r>
      <w:r w:rsidR="009B32B8">
        <w:rPr>
          <w:color w:val="auto"/>
        </w:rPr>
        <w:t xml:space="preserve"> </w:t>
      </w:r>
      <w:r w:rsidRPr="00285F96">
        <w:rPr>
          <w:color w:val="auto"/>
        </w:rPr>
        <w:t xml:space="preserve">and indicative of its status as a form of coverage. </w:t>
      </w:r>
    </w:p>
    <w:p w14:paraId="2DD4AA43" w14:textId="26233DC0" w:rsidR="00285F96" w:rsidRDefault="00285F96" w:rsidP="00BF2545">
      <w:r w:rsidRPr="00285F96">
        <w:rPr>
          <w:noProof/>
        </w:rPr>
        <w:drawing>
          <wp:inline distT="0" distB="0" distL="0" distR="0" wp14:anchorId="349A3389" wp14:editId="1D5C1193">
            <wp:extent cx="6677660" cy="2820035"/>
            <wp:effectExtent l="0" t="0" r="8890" b="0"/>
            <wp:docPr id="15352496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77660" cy="2820035"/>
                    </a:xfrm>
                    <a:prstGeom prst="rect">
                      <a:avLst/>
                    </a:prstGeom>
                    <a:noFill/>
                    <a:ln>
                      <a:noFill/>
                    </a:ln>
                  </pic:spPr>
                </pic:pic>
              </a:graphicData>
            </a:graphic>
          </wp:inline>
        </w:drawing>
      </w:r>
    </w:p>
    <w:p w14:paraId="286B8472" w14:textId="24693BD2" w:rsidR="00BF2545" w:rsidRDefault="00285F96" w:rsidP="00BF2545">
      <w:r>
        <w:t>Figure 3. Visual representation of coverage offered by an insurance contract.</w:t>
      </w:r>
    </w:p>
    <w:p w14:paraId="303BF79D" w14:textId="25095731" w:rsidR="00285F96" w:rsidRDefault="00285F96" w:rsidP="00285F96">
      <w:r>
        <w:t>In prose form, the indemnification promise shown in Figure 3 may be stated as follows:</w:t>
      </w:r>
    </w:p>
    <w:p w14:paraId="07971390" w14:textId="36569B0E" w:rsidR="00285F96" w:rsidRPr="00285F96" w:rsidRDefault="00285F96" w:rsidP="00285F96">
      <w:pPr>
        <w:pStyle w:val="ListParagraph"/>
        <w:numPr>
          <w:ilvl w:val="0"/>
          <w:numId w:val="7"/>
        </w:numPr>
        <w:rPr>
          <w:color w:val="auto"/>
        </w:rPr>
      </w:pPr>
      <w:r w:rsidRPr="00285F96">
        <w:rPr>
          <w:color w:val="auto"/>
        </w:rPr>
        <w:t xml:space="preserve">We will cover you for the costs (to cover </w:t>
      </w:r>
      <w:r>
        <w:rPr>
          <w:color w:val="auto"/>
        </w:rPr>
        <w:t>one or more loss</w:t>
      </w:r>
      <w:r w:rsidR="00DB3D75">
        <w:rPr>
          <w:color w:val="auto"/>
        </w:rPr>
        <w:t>es</w:t>
      </w:r>
      <w:r w:rsidRPr="00285F96">
        <w:rPr>
          <w:color w:val="auto"/>
        </w:rPr>
        <w:t xml:space="preserve">) in I, which are specified in the insuring </w:t>
      </w:r>
      <w:proofErr w:type="gramStart"/>
      <w:r w:rsidRPr="00285F96">
        <w:rPr>
          <w:color w:val="auto"/>
        </w:rPr>
        <w:t>clause</w:t>
      </w:r>
      <w:proofErr w:type="gramEnd"/>
      <w:r w:rsidRPr="00285F96">
        <w:rPr>
          <w:color w:val="auto"/>
        </w:rPr>
        <w:t xml:space="preserve"> and which also satisfy the general conditions, </w:t>
      </w:r>
      <w:r>
        <w:rPr>
          <w:color w:val="auto"/>
        </w:rPr>
        <w:t xml:space="preserve">usually </w:t>
      </w:r>
      <w:r w:rsidRPr="00285F96">
        <w:rPr>
          <w:color w:val="auto"/>
        </w:rPr>
        <w:t>not referred to explicitly in the insuring clause.</w:t>
      </w:r>
    </w:p>
    <w:p w14:paraId="49D62067" w14:textId="77777777" w:rsidR="00285F96" w:rsidRPr="00285F96" w:rsidRDefault="00285F96" w:rsidP="00285F96">
      <w:pPr>
        <w:pStyle w:val="ListParagraph"/>
        <w:numPr>
          <w:ilvl w:val="0"/>
          <w:numId w:val="7"/>
        </w:numPr>
        <w:rPr>
          <w:color w:val="auto"/>
        </w:rPr>
      </w:pPr>
      <w:r w:rsidRPr="00285F96">
        <w:rPr>
          <w:color w:val="auto"/>
        </w:rPr>
        <w:t>We will also cover you for the additional costs in</w:t>
      </w:r>
      <w:r w:rsidRPr="00285F96">
        <w:rPr>
          <w:color w:val="auto"/>
          <w:highlight w:val="white"/>
        </w:rPr>
        <w:t xml:space="preserve"> C, which are specified in additional </w:t>
      </w:r>
      <w:proofErr w:type="gramStart"/>
      <w:r w:rsidRPr="00285F96">
        <w:rPr>
          <w:color w:val="auto"/>
          <w:highlight w:val="white"/>
        </w:rPr>
        <w:t>clauses</w:t>
      </w:r>
      <w:proofErr w:type="gramEnd"/>
      <w:r w:rsidRPr="00285F96">
        <w:rPr>
          <w:color w:val="auto"/>
          <w:highlight w:val="white"/>
        </w:rPr>
        <w:t xml:space="preserve"> and which satisfy both the general conditions and the conditions that are local to those clauses.</w:t>
      </w:r>
    </w:p>
    <w:p w14:paraId="521A82BE" w14:textId="2888BE74" w:rsidR="00BF2545" w:rsidRDefault="00285F96" w:rsidP="00BF2545">
      <w:pPr>
        <w:pStyle w:val="ListParagraph"/>
        <w:numPr>
          <w:ilvl w:val="0"/>
          <w:numId w:val="7"/>
        </w:numPr>
        <w:rPr>
          <w:color w:val="auto"/>
          <w:highlight w:val="white"/>
        </w:rPr>
      </w:pPr>
      <w:r w:rsidRPr="00285F96">
        <w:rPr>
          <w:color w:val="auto"/>
          <w:highlight w:val="white"/>
        </w:rPr>
        <w:t xml:space="preserve">We will not cover you for specific exclusions </w:t>
      </w:r>
      <w:r w:rsidRPr="00285F96">
        <w:rPr>
          <w:color w:val="auto"/>
        </w:rPr>
        <w:t>(</w:t>
      </w:r>
      <w:r w:rsidRPr="00285F96">
        <w:rPr>
          <w:color w:val="auto"/>
          <w:highlight w:val="white"/>
        </w:rPr>
        <w:t xml:space="preserve">E) except for </w:t>
      </w:r>
      <w:r w:rsidRPr="00285F96">
        <w:rPr>
          <w:color w:val="auto"/>
        </w:rPr>
        <w:t>C</w:t>
      </w:r>
      <w:r w:rsidRPr="00285F96">
        <w:rPr>
          <w:color w:val="auto"/>
          <w:vertAlign w:val="subscript"/>
        </w:rPr>
        <w:t>E</w:t>
      </w:r>
      <w:r w:rsidRPr="00285F96">
        <w:rPr>
          <w:color w:val="auto"/>
          <w:highlight w:val="white"/>
        </w:rPr>
        <w:t xml:space="preserve"> in respect of E.</w:t>
      </w:r>
    </w:p>
    <w:p w14:paraId="7ADE0B01" w14:textId="77777777" w:rsidR="008E32FB" w:rsidRPr="008E32FB" w:rsidRDefault="008E32FB" w:rsidP="008E32FB">
      <w:pPr>
        <w:pStyle w:val="ListParagraph"/>
        <w:rPr>
          <w:color w:val="auto"/>
          <w:highlight w:val="white"/>
        </w:rPr>
      </w:pPr>
    </w:p>
    <w:p w14:paraId="67F8CC6C" w14:textId="6D193452" w:rsidR="00FB726D" w:rsidRPr="00D92F6A" w:rsidRDefault="00145F42" w:rsidP="00FB726D">
      <w:pPr>
        <w:pStyle w:val="Heading2"/>
      </w:pPr>
      <w:r>
        <w:lastRenderedPageBreak/>
        <w:t xml:space="preserve">4. </w:t>
      </w:r>
      <w:r w:rsidR="003C5CDA">
        <w:t xml:space="preserve">Modular </w:t>
      </w:r>
      <w:r w:rsidR="00FB726D">
        <w:t>Content Modelling</w:t>
      </w:r>
      <w:r w:rsidR="008E32FB">
        <w:t xml:space="preserve"> for Insurance Contract Computability</w:t>
      </w:r>
    </w:p>
    <w:p w14:paraId="2F36DB14" w14:textId="6209AD92" w:rsidR="008E32FB" w:rsidRDefault="000F066B" w:rsidP="00FB726D">
      <w:r>
        <w:t>Having</w:t>
      </w:r>
      <w:r w:rsidR="008E32FB">
        <w:t xml:space="preserve"> outlined the path towards contract computability, as well as the </w:t>
      </w:r>
      <w:r>
        <w:t>basic function</w:t>
      </w:r>
      <w:r w:rsidR="009B32B8">
        <w:t>ing</w:t>
      </w:r>
      <w:r w:rsidR="008E32FB">
        <w:t xml:space="preserve"> of insurance contracts, we can now look at abstract information modelling.  </w:t>
      </w:r>
    </w:p>
    <w:p w14:paraId="3F948193" w14:textId="614A2CAD" w:rsidR="00B44C7E" w:rsidRDefault="00B44C7E" w:rsidP="00FB726D">
      <w:r>
        <w:t xml:space="preserve">The </w:t>
      </w:r>
      <w:r w:rsidR="000F066B">
        <w:t>process</w:t>
      </w:r>
      <w:r>
        <w:t xml:space="preserve"> of modularisation (i.e. the breaking an insurance contract down into its constituent parts)</w:t>
      </w:r>
      <w:r w:rsidR="000F066B">
        <w:t xml:space="preserve"> is essential for the modelling of contracts</w:t>
      </w:r>
      <w:r>
        <w:t xml:space="preserve">. This important step may be </w:t>
      </w:r>
      <w:r w:rsidR="000F066B">
        <w:t>assisted</w:t>
      </w:r>
      <w:r>
        <w:t xml:space="preserve"> using an Entity Relationship Diagram </w:t>
      </w:r>
      <w:r w:rsidR="000F066B">
        <w:t xml:space="preserve">(ERD) </w:t>
      </w:r>
      <w:r>
        <w:t>as indicated in Figure 4.</w:t>
      </w:r>
    </w:p>
    <w:p w14:paraId="4524C5E1" w14:textId="104B62A3" w:rsidR="00FB726D" w:rsidRDefault="000F066B" w:rsidP="00A31124">
      <w:pPr>
        <w:rPr>
          <w:color w:val="000000"/>
        </w:rPr>
      </w:pPr>
      <w:r>
        <w:rPr>
          <w:color w:val="000000"/>
        </w:rPr>
        <w:t xml:space="preserve">The ERD might be </w:t>
      </w:r>
      <w:r w:rsidR="00E926DB">
        <w:rPr>
          <w:color w:val="000000"/>
        </w:rPr>
        <w:t>considered as having two distinct parts</w:t>
      </w:r>
      <w:r>
        <w:rPr>
          <w:color w:val="000000"/>
        </w:rPr>
        <w:t>: an upper part that is primarily concerned with the overall structure of the contract object through a series of nested ‘component groups’; and a lower part that is concerned more with the content (although there are structural considerations here too).</w:t>
      </w:r>
    </w:p>
    <w:p w14:paraId="38827EB4" w14:textId="52940F8F" w:rsidR="000F066B" w:rsidRDefault="000F066B" w:rsidP="00A31124">
      <w:pPr>
        <w:rPr>
          <w:color w:val="000000"/>
        </w:rPr>
      </w:pPr>
      <w:r>
        <w:rPr>
          <w:color w:val="000000"/>
        </w:rPr>
        <w:t>The lower, content-focussed part consists of ‘components’ and ‘elements’ (or sub-components). Components</w:t>
      </w:r>
      <w:r>
        <w:rPr>
          <w:rStyle w:val="FootnoteReference"/>
          <w:color w:val="000000"/>
        </w:rPr>
        <w:footnoteReference w:id="4"/>
      </w:r>
      <w:r>
        <w:rPr>
          <w:color w:val="000000"/>
        </w:rPr>
        <w:t xml:space="preserve"> represent the fundamental ‘building blocks’ of an insurance policy wording. And, within a taxonomy of components, the main types are definition components; coverage components; exclusion components and condition components (</w:t>
      </w:r>
      <w:r w:rsidR="00E926DB">
        <w:rPr>
          <w:color w:val="000000"/>
        </w:rPr>
        <w:t xml:space="preserve">thus </w:t>
      </w:r>
      <w:r>
        <w:rPr>
          <w:color w:val="000000"/>
        </w:rPr>
        <w:t xml:space="preserve">reflecting the earlier part of this document on the nature of insurance contracts). The element level (beneath the component level) </w:t>
      </w:r>
      <w:r w:rsidR="00E926DB">
        <w:rPr>
          <w:color w:val="000000"/>
        </w:rPr>
        <w:t xml:space="preserve">essentially </w:t>
      </w:r>
      <w:r>
        <w:rPr>
          <w:color w:val="000000"/>
        </w:rPr>
        <w:t xml:space="preserve">allows for a finer granularity of typing. In Figure 4, we see that a coverage component has two statements: a coverage statement and an exclusion statement, which can be modelled by typing the elements in a similar fashion to components. This finer level of granularity allows for a greater level of semantic enrichment, which in turn can support </w:t>
      </w:r>
      <w:r w:rsidR="009B32B8">
        <w:rPr>
          <w:color w:val="000000"/>
        </w:rPr>
        <w:t xml:space="preserve">a </w:t>
      </w:r>
      <w:r>
        <w:rPr>
          <w:color w:val="000000"/>
        </w:rPr>
        <w:t xml:space="preserve">more refined </w:t>
      </w:r>
      <w:r w:rsidR="00E926DB">
        <w:rPr>
          <w:color w:val="000000"/>
        </w:rPr>
        <w:t xml:space="preserve">set of tasks for </w:t>
      </w:r>
      <w:r>
        <w:rPr>
          <w:color w:val="000000"/>
        </w:rPr>
        <w:t>search</w:t>
      </w:r>
      <w:r w:rsidR="00E926DB">
        <w:rPr>
          <w:color w:val="000000"/>
        </w:rPr>
        <w:t>ing</w:t>
      </w:r>
      <w:r>
        <w:rPr>
          <w:color w:val="000000"/>
        </w:rPr>
        <w:t xml:space="preserve"> and retriev</w:t>
      </w:r>
      <w:r w:rsidR="00E926DB">
        <w:rPr>
          <w:color w:val="000000"/>
        </w:rPr>
        <w:t>al</w:t>
      </w:r>
      <w:r>
        <w:rPr>
          <w:color w:val="000000"/>
        </w:rPr>
        <w:t xml:space="preserve">.  </w:t>
      </w:r>
    </w:p>
    <w:p w14:paraId="1DC7A7CA" w14:textId="393CE0D9" w:rsidR="00FB726D" w:rsidRDefault="000F066B" w:rsidP="00A31124">
      <w:pPr>
        <w:rPr>
          <w:color w:val="000000"/>
        </w:rPr>
      </w:pPr>
      <w:r w:rsidRPr="000F066B">
        <w:rPr>
          <w:noProof/>
        </w:rPr>
        <w:drawing>
          <wp:inline distT="0" distB="0" distL="0" distR="0" wp14:anchorId="25DFB26E" wp14:editId="0AF5ABE5">
            <wp:extent cx="6677660" cy="4009390"/>
            <wp:effectExtent l="0" t="0" r="8890" b="0"/>
            <wp:docPr id="5455419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77660" cy="4009390"/>
                    </a:xfrm>
                    <a:prstGeom prst="rect">
                      <a:avLst/>
                    </a:prstGeom>
                    <a:noFill/>
                    <a:ln>
                      <a:noFill/>
                    </a:ln>
                  </pic:spPr>
                </pic:pic>
              </a:graphicData>
            </a:graphic>
          </wp:inline>
        </w:drawing>
      </w:r>
    </w:p>
    <w:p w14:paraId="4BF689F3" w14:textId="3AC4A887" w:rsidR="003C5CDA" w:rsidRDefault="003C5CDA" w:rsidP="003C5CDA">
      <w:pPr>
        <w:rPr>
          <w:color w:val="000000"/>
        </w:rPr>
      </w:pPr>
      <w:r>
        <w:rPr>
          <w:color w:val="000000"/>
        </w:rPr>
        <w:t xml:space="preserve">Figure </w:t>
      </w:r>
      <w:r w:rsidR="00285F96">
        <w:rPr>
          <w:color w:val="000000"/>
        </w:rPr>
        <w:t>4</w:t>
      </w:r>
      <w:r>
        <w:rPr>
          <w:color w:val="000000"/>
        </w:rPr>
        <w:t>. Representation of the Policy Wording using an Entity Relationship diagram.</w:t>
      </w:r>
    </w:p>
    <w:p w14:paraId="45BAA362" w14:textId="5F725A99" w:rsidR="00372628" w:rsidRDefault="000F066B" w:rsidP="003C5CDA">
      <w:pPr>
        <w:rPr>
          <w:color w:val="000000"/>
        </w:rPr>
      </w:pPr>
      <w:r w:rsidRPr="00636142">
        <w:rPr>
          <w:b/>
          <w:bCs/>
          <w:color w:val="000000"/>
        </w:rPr>
        <w:lastRenderedPageBreak/>
        <w:t>Within the components (or elements)</w:t>
      </w:r>
      <w:r>
        <w:rPr>
          <w:color w:val="000000"/>
        </w:rPr>
        <w:t xml:space="preserve">, </w:t>
      </w:r>
      <w:r w:rsidR="00DB3D75">
        <w:rPr>
          <w:color w:val="000000"/>
        </w:rPr>
        <w:t xml:space="preserve">a body of </w:t>
      </w:r>
      <w:r>
        <w:rPr>
          <w:color w:val="000000"/>
        </w:rPr>
        <w:t xml:space="preserve">text may take the form of </w:t>
      </w:r>
      <w:r w:rsidR="00372628">
        <w:rPr>
          <w:color w:val="000000"/>
        </w:rPr>
        <w:t>a ‘composite construct’. A simple example might be the phrase ‘a maximum of £50,000 any one claim’</w:t>
      </w:r>
      <w:r w:rsidR="00DB3D75">
        <w:rPr>
          <w:color w:val="000000"/>
        </w:rPr>
        <w:t xml:space="preserve"> to limit the level of indemnification</w:t>
      </w:r>
      <w:r w:rsidR="00372628">
        <w:rPr>
          <w:color w:val="000000"/>
        </w:rPr>
        <w:t>. This construct would have a type (e.g. a limit, deductible or excess) with four parts</w:t>
      </w:r>
      <w:r w:rsidR="00DB3D75">
        <w:rPr>
          <w:color w:val="000000"/>
        </w:rPr>
        <w:t xml:space="preserve"> where</w:t>
      </w:r>
      <w:r w:rsidR="00DB3D75">
        <w:rPr>
          <w:color w:val="000000"/>
        </w:rPr>
        <w:t xml:space="preserve"> </w:t>
      </w:r>
      <w:r w:rsidR="00DB3D75">
        <w:rPr>
          <w:color w:val="000000"/>
        </w:rPr>
        <w:t xml:space="preserve">the </w:t>
      </w:r>
      <w:r w:rsidR="00DB3D75">
        <w:rPr>
          <w:color w:val="000000"/>
        </w:rPr>
        <w:t>nature of the language used is based on industry standard terms and phrases</w:t>
      </w:r>
      <w:r w:rsidR="00372628">
        <w:rPr>
          <w:color w:val="000000"/>
        </w:rPr>
        <w:t xml:space="preserve">: </w:t>
      </w:r>
    </w:p>
    <w:p w14:paraId="463645AB" w14:textId="1A947994" w:rsidR="000F066B" w:rsidRDefault="00372628" w:rsidP="00372628">
      <w:pPr>
        <w:pStyle w:val="ListParagraph"/>
        <w:numPr>
          <w:ilvl w:val="0"/>
          <w:numId w:val="8"/>
        </w:numPr>
        <w:rPr>
          <w:color w:val="000000"/>
        </w:rPr>
      </w:pPr>
      <w:r>
        <w:rPr>
          <w:color w:val="000000"/>
        </w:rPr>
        <w:t>An initial phrase – ‘a maximum of</w:t>
      </w:r>
      <w:proofErr w:type="gramStart"/>
      <w:r>
        <w:rPr>
          <w:color w:val="000000"/>
        </w:rPr>
        <w:t>’;</w:t>
      </w:r>
      <w:proofErr w:type="gramEnd"/>
    </w:p>
    <w:p w14:paraId="348D40DD" w14:textId="1F43826A" w:rsidR="00372628" w:rsidRDefault="00372628" w:rsidP="00372628">
      <w:pPr>
        <w:pStyle w:val="ListParagraph"/>
        <w:numPr>
          <w:ilvl w:val="0"/>
          <w:numId w:val="8"/>
        </w:numPr>
        <w:rPr>
          <w:color w:val="000000"/>
        </w:rPr>
      </w:pPr>
      <w:r>
        <w:rPr>
          <w:color w:val="000000"/>
        </w:rPr>
        <w:t xml:space="preserve">A currency – in this case </w:t>
      </w:r>
      <w:proofErr w:type="gramStart"/>
      <w:r>
        <w:rPr>
          <w:color w:val="000000"/>
        </w:rPr>
        <w:t>GBP;</w:t>
      </w:r>
      <w:proofErr w:type="gramEnd"/>
    </w:p>
    <w:p w14:paraId="1451A0DA" w14:textId="686ED0A4" w:rsidR="00372628" w:rsidRDefault="00372628" w:rsidP="00372628">
      <w:pPr>
        <w:pStyle w:val="ListParagraph"/>
        <w:numPr>
          <w:ilvl w:val="0"/>
          <w:numId w:val="8"/>
        </w:numPr>
        <w:rPr>
          <w:color w:val="000000"/>
        </w:rPr>
      </w:pPr>
      <w:r>
        <w:rPr>
          <w:color w:val="000000"/>
        </w:rPr>
        <w:t>A value – in this case, 50,000; and</w:t>
      </w:r>
    </w:p>
    <w:p w14:paraId="3E5D65CF" w14:textId="5C8683B6" w:rsidR="00372628" w:rsidRDefault="00372628" w:rsidP="00372628">
      <w:pPr>
        <w:pStyle w:val="ListParagraph"/>
        <w:numPr>
          <w:ilvl w:val="0"/>
          <w:numId w:val="8"/>
        </w:numPr>
        <w:rPr>
          <w:color w:val="000000"/>
        </w:rPr>
      </w:pPr>
      <w:r>
        <w:rPr>
          <w:color w:val="000000"/>
        </w:rPr>
        <w:t>A final phrase – ‘any one claim’.</w:t>
      </w:r>
    </w:p>
    <w:p w14:paraId="07CD5D02" w14:textId="52D19DCE" w:rsidR="00372628" w:rsidRDefault="00DB3D75" w:rsidP="00372628">
      <w:pPr>
        <w:rPr>
          <w:color w:val="000000"/>
        </w:rPr>
      </w:pPr>
      <w:r>
        <w:rPr>
          <w:color w:val="000000"/>
        </w:rPr>
        <w:t xml:space="preserve">Embedded variables may be used within components (and may also be part of the composite constructs shown above). </w:t>
      </w:r>
      <w:r w:rsidR="00372628">
        <w:rPr>
          <w:color w:val="000000"/>
        </w:rPr>
        <w:t>Th</w:t>
      </w:r>
      <w:r>
        <w:rPr>
          <w:color w:val="000000"/>
        </w:rPr>
        <w:t xml:space="preserve">e value for a variable </w:t>
      </w:r>
      <w:r w:rsidR="00372628">
        <w:rPr>
          <w:color w:val="000000"/>
        </w:rPr>
        <w:t xml:space="preserve">could be the limit for a particular coverage e.g. damage due to flooding. </w:t>
      </w:r>
    </w:p>
    <w:p w14:paraId="05DF09F9" w14:textId="14820C86" w:rsidR="00E926DB" w:rsidRDefault="00E926DB" w:rsidP="00372628">
      <w:pPr>
        <w:rPr>
          <w:color w:val="000000"/>
        </w:rPr>
      </w:pPr>
      <w:r>
        <w:rPr>
          <w:color w:val="000000"/>
        </w:rPr>
        <w:t xml:space="preserve">It should be noted that the ERD has been used to model a single contract; in reality, there may be several tens of policy wordings within the overall insurance product estate, thereby changing the cardinality for the contract object from ‘one’ to ‘one to many’, </w:t>
      </w:r>
      <w:r w:rsidR="009B32B8">
        <w:rPr>
          <w:color w:val="000000"/>
        </w:rPr>
        <w:t xml:space="preserve">in respect of </w:t>
      </w:r>
      <w:r>
        <w:rPr>
          <w:color w:val="000000"/>
        </w:rPr>
        <w:t xml:space="preserve">both components and component groups.  </w:t>
      </w:r>
    </w:p>
    <w:p w14:paraId="6CE8B551" w14:textId="6D9261E5" w:rsidR="00145F42" w:rsidRPr="00372628" w:rsidRDefault="00145F42" w:rsidP="00372628">
      <w:pPr>
        <w:rPr>
          <w:color w:val="000000"/>
        </w:rPr>
      </w:pPr>
      <w:r>
        <w:rPr>
          <w:color w:val="000000"/>
        </w:rPr>
        <w:t xml:space="preserve">In the policy wording snippet (shown in Figure 5), an example of nesting within a component is shown. Examples with five (or even six) levels of nesting are not uncommon. The example also shows several examples of cross-referencing, both for defined terms (which are modelled as components) and </w:t>
      </w:r>
      <w:r w:rsidR="009B32B8">
        <w:rPr>
          <w:color w:val="000000"/>
        </w:rPr>
        <w:t>for</w:t>
      </w:r>
      <w:r>
        <w:rPr>
          <w:color w:val="000000"/>
        </w:rPr>
        <w:t xml:space="preserve"> referenc</w:t>
      </w:r>
      <w:r w:rsidR="009B32B8">
        <w:rPr>
          <w:color w:val="000000"/>
        </w:rPr>
        <w:t>ing</w:t>
      </w:r>
      <w:r>
        <w:rPr>
          <w:color w:val="000000"/>
        </w:rPr>
        <w:t xml:space="preserve"> another part of the contract object. </w:t>
      </w:r>
    </w:p>
    <w:p w14:paraId="5B72483E" w14:textId="673789F1" w:rsidR="000F066B" w:rsidRDefault="00306F9A" w:rsidP="003C5CDA">
      <w:pPr>
        <w:rPr>
          <w:color w:val="000000"/>
        </w:rPr>
      </w:pPr>
      <w:r w:rsidRPr="00306F9A">
        <w:rPr>
          <w:noProof/>
        </w:rPr>
        <w:drawing>
          <wp:inline distT="0" distB="0" distL="0" distR="0" wp14:anchorId="7A146291" wp14:editId="42718E6C">
            <wp:extent cx="6677660" cy="4434205"/>
            <wp:effectExtent l="0" t="0" r="8890" b="4445"/>
            <wp:docPr id="14113466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77660" cy="4434205"/>
                    </a:xfrm>
                    <a:prstGeom prst="rect">
                      <a:avLst/>
                    </a:prstGeom>
                    <a:noFill/>
                    <a:ln>
                      <a:noFill/>
                    </a:ln>
                  </pic:spPr>
                </pic:pic>
              </a:graphicData>
            </a:graphic>
          </wp:inline>
        </w:drawing>
      </w:r>
    </w:p>
    <w:p w14:paraId="1F0D4AFB" w14:textId="4E9FC6B2" w:rsidR="00145F42" w:rsidRDefault="00145F42" w:rsidP="003C5CDA">
      <w:pPr>
        <w:rPr>
          <w:color w:val="000000"/>
        </w:rPr>
      </w:pPr>
      <w:r>
        <w:rPr>
          <w:color w:val="000000"/>
        </w:rPr>
        <w:t>Figure 5. Policy wording snippet showing cross-referencing and nest</w:t>
      </w:r>
      <w:r w:rsidR="00306F9A">
        <w:rPr>
          <w:color w:val="000000"/>
        </w:rPr>
        <w:t xml:space="preserve">ing within a </w:t>
      </w:r>
      <w:r w:rsidR="00DB3D75">
        <w:rPr>
          <w:color w:val="000000"/>
        </w:rPr>
        <w:t>component</w:t>
      </w:r>
      <w:r w:rsidR="00306F9A">
        <w:rPr>
          <w:color w:val="000000"/>
        </w:rPr>
        <w:t>.</w:t>
      </w:r>
      <w:r>
        <w:rPr>
          <w:color w:val="000000"/>
        </w:rPr>
        <w:t xml:space="preserve"> </w:t>
      </w:r>
    </w:p>
    <w:p w14:paraId="4A6F2D69" w14:textId="1995B936" w:rsidR="008E32FB" w:rsidRDefault="00145F42" w:rsidP="00145F42">
      <w:pPr>
        <w:pStyle w:val="Heading2"/>
      </w:pPr>
      <w:r>
        <w:lastRenderedPageBreak/>
        <w:t xml:space="preserve">5. </w:t>
      </w:r>
      <w:r w:rsidR="000F066B">
        <w:t xml:space="preserve">Establishing the Main Requirements for an Insurance Markup Language - </w:t>
      </w:r>
      <w:proofErr w:type="spellStart"/>
      <w:r w:rsidR="000F066B">
        <w:t>InsurML</w:t>
      </w:r>
      <w:proofErr w:type="spellEnd"/>
    </w:p>
    <w:p w14:paraId="4C136143" w14:textId="60E4F5E2" w:rsidR="008E32FB" w:rsidRDefault="00145F42" w:rsidP="003C5CDA">
      <w:pPr>
        <w:rPr>
          <w:color w:val="000000"/>
        </w:rPr>
      </w:pPr>
      <w:r>
        <w:rPr>
          <w:color w:val="000000"/>
        </w:rPr>
        <w:t>Following on from the content modelling (</w:t>
      </w:r>
      <w:r w:rsidR="00306F9A">
        <w:rPr>
          <w:color w:val="000000"/>
        </w:rPr>
        <w:t xml:space="preserve">and </w:t>
      </w:r>
      <w:r>
        <w:rPr>
          <w:color w:val="000000"/>
        </w:rPr>
        <w:t xml:space="preserve">having reviewed well over 100 policy wordings), </w:t>
      </w:r>
      <w:r w:rsidR="00472E16">
        <w:rPr>
          <w:color w:val="000000"/>
        </w:rPr>
        <w:t>we have started</w:t>
      </w:r>
      <w:r>
        <w:rPr>
          <w:color w:val="000000"/>
        </w:rPr>
        <w:t xml:space="preserve"> to outline a set of requirements for </w:t>
      </w:r>
      <w:proofErr w:type="spellStart"/>
      <w:r>
        <w:rPr>
          <w:color w:val="000000"/>
        </w:rPr>
        <w:t>InsurML</w:t>
      </w:r>
      <w:proofErr w:type="spellEnd"/>
      <w:r w:rsidR="00472E16">
        <w:rPr>
          <w:color w:val="000000"/>
        </w:rPr>
        <w:t>, a markup language specifically for the commercial Insurance industry. These include the following:</w:t>
      </w:r>
    </w:p>
    <w:p w14:paraId="63D2DC1B" w14:textId="4AB9D111" w:rsidR="00472E16" w:rsidRPr="00472E16" w:rsidRDefault="00472E16" w:rsidP="00472E16">
      <w:pPr>
        <w:pStyle w:val="ListParagraph"/>
        <w:numPr>
          <w:ilvl w:val="0"/>
          <w:numId w:val="9"/>
        </w:numPr>
        <w:rPr>
          <w:color w:val="000000"/>
        </w:rPr>
      </w:pPr>
      <w:r w:rsidRPr="00472E16">
        <w:rPr>
          <w:b/>
          <w:bCs/>
          <w:color w:val="000000"/>
        </w:rPr>
        <w:t>Contract object structuring</w:t>
      </w:r>
      <w:r>
        <w:rPr>
          <w:color w:val="000000"/>
        </w:rPr>
        <w:t xml:space="preserve"> using component groups, components (topics) and elements (or sub-components) i.e. reflecting the ERD shown earlier in the document</w:t>
      </w:r>
      <w:r w:rsidR="00306F9A">
        <w:rPr>
          <w:color w:val="000000"/>
        </w:rPr>
        <w:t>.</w:t>
      </w:r>
    </w:p>
    <w:p w14:paraId="780A9A3B" w14:textId="77777777" w:rsidR="00306F9A" w:rsidRDefault="00306F9A" w:rsidP="00306F9A">
      <w:pPr>
        <w:pStyle w:val="ListParagraph"/>
        <w:numPr>
          <w:ilvl w:val="0"/>
          <w:numId w:val="9"/>
        </w:numPr>
        <w:rPr>
          <w:color w:val="000000"/>
        </w:rPr>
      </w:pPr>
      <w:r>
        <w:rPr>
          <w:b/>
          <w:bCs/>
          <w:color w:val="000000"/>
        </w:rPr>
        <w:t xml:space="preserve">Content objects </w:t>
      </w:r>
      <w:r>
        <w:rPr>
          <w:color w:val="000000"/>
        </w:rPr>
        <w:t xml:space="preserve">that are both text-based and table-based. There will be a need for extensive nested listing capabilities, and in some instances, nested tables will be needed. </w:t>
      </w:r>
    </w:p>
    <w:p w14:paraId="7288887E" w14:textId="4788BD4C" w:rsidR="00472E16" w:rsidRDefault="00472E16" w:rsidP="00472E16">
      <w:pPr>
        <w:pStyle w:val="ListParagraph"/>
        <w:numPr>
          <w:ilvl w:val="0"/>
          <w:numId w:val="9"/>
        </w:numPr>
        <w:rPr>
          <w:color w:val="000000"/>
        </w:rPr>
      </w:pPr>
      <w:r w:rsidRPr="00472E16">
        <w:rPr>
          <w:b/>
          <w:bCs/>
          <w:color w:val="000000"/>
        </w:rPr>
        <w:t xml:space="preserve">A </w:t>
      </w:r>
      <w:r>
        <w:rPr>
          <w:b/>
          <w:bCs/>
          <w:color w:val="000000"/>
        </w:rPr>
        <w:t xml:space="preserve">flexible </w:t>
      </w:r>
      <w:r w:rsidRPr="00472E16">
        <w:rPr>
          <w:b/>
          <w:bCs/>
          <w:color w:val="000000"/>
        </w:rPr>
        <w:t>profiling strategy</w:t>
      </w:r>
      <w:r>
        <w:rPr>
          <w:color w:val="000000"/>
        </w:rPr>
        <w:t xml:space="preserve"> that allows for component variants to be configured differently in (typically) 10 to 20 different products or policy wordings.</w:t>
      </w:r>
    </w:p>
    <w:p w14:paraId="0769DAC5" w14:textId="3A772BBB" w:rsidR="00DB3D75" w:rsidRDefault="00472E16" w:rsidP="00472E16">
      <w:pPr>
        <w:pStyle w:val="ListParagraph"/>
        <w:numPr>
          <w:ilvl w:val="0"/>
          <w:numId w:val="9"/>
        </w:numPr>
        <w:rPr>
          <w:color w:val="000000"/>
        </w:rPr>
      </w:pPr>
      <w:r w:rsidRPr="00472E16">
        <w:rPr>
          <w:b/>
          <w:bCs/>
          <w:color w:val="000000"/>
        </w:rPr>
        <w:t xml:space="preserve">Handling of </w:t>
      </w:r>
      <w:r w:rsidR="00DB3D75">
        <w:rPr>
          <w:b/>
          <w:bCs/>
          <w:color w:val="000000"/>
        </w:rPr>
        <w:t>composite constructs</w:t>
      </w:r>
      <w:r w:rsidR="00306F9A">
        <w:rPr>
          <w:color w:val="000000"/>
        </w:rPr>
        <w:t xml:space="preserve">, </w:t>
      </w:r>
      <w:r w:rsidR="00DB3D75">
        <w:rPr>
          <w:color w:val="000000"/>
        </w:rPr>
        <w:t>that permits the authoring of industry-specific phrases in accordance with schemas.</w:t>
      </w:r>
    </w:p>
    <w:p w14:paraId="75EFFCA0" w14:textId="7B8C05D0" w:rsidR="00472E16" w:rsidRDefault="00DB3D75" w:rsidP="00472E16">
      <w:pPr>
        <w:pStyle w:val="ListParagraph"/>
        <w:numPr>
          <w:ilvl w:val="0"/>
          <w:numId w:val="9"/>
        </w:numPr>
        <w:rPr>
          <w:color w:val="000000"/>
        </w:rPr>
      </w:pPr>
      <w:r w:rsidRPr="00DB3D75">
        <w:rPr>
          <w:b/>
          <w:bCs/>
          <w:color w:val="000000"/>
        </w:rPr>
        <w:t>Embedded variables</w:t>
      </w:r>
      <w:r>
        <w:rPr>
          <w:color w:val="000000"/>
        </w:rPr>
        <w:t xml:space="preserve">, </w:t>
      </w:r>
      <w:r w:rsidR="00472E16">
        <w:rPr>
          <w:color w:val="000000"/>
        </w:rPr>
        <w:t xml:space="preserve">which </w:t>
      </w:r>
      <w:r>
        <w:rPr>
          <w:color w:val="000000"/>
        </w:rPr>
        <w:t xml:space="preserve">may well be in the form of an array, and that </w:t>
      </w:r>
      <w:r w:rsidR="00472E16">
        <w:rPr>
          <w:color w:val="000000"/>
        </w:rPr>
        <w:t>operate well in conjunction with the profiling strategy.</w:t>
      </w:r>
    </w:p>
    <w:p w14:paraId="7330ABA8" w14:textId="01FDB2FA" w:rsidR="00472E16" w:rsidRDefault="00472E16" w:rsidP="00472E16">
      <w:pPr>
        <w:pStyle w:val="ListParagraph"/>
        <w:numPr>
          <w:ilvl w:val="0"/>
          <w:numId w:val="9"/>
        </w:numPr>
        <w:rPr>
          <w:color w:val="000000"/>
        </w:rPr>
      </w:pPr>
      <w:r>
        <w:rPr>
          <w:b/>
          <w:bCs/>
          <w:color w:val="000000"/>
        </w:rPr>
        <w:t xml:space="preserve">Cross-referencing </w:t>
      </w:r>
      <w:r>
        <w:rPr>
          <w:color w:val="000000"/>
        </w:rPr>
        <w:t>to other components and to document locations (including footnotes).</w:t>
      </w:r>
    </w:p>
    <w:p w14:paraId="3D427240" w14:textId="630164E6" w:rsidR="00472E16" w:rsidRDefault="00472E16" w:rsidP="00472E16">
      <w:pPr>
        <w:pStyle w:val="ListParagraph"/>
        <w:numPr>
          <w:ilvl w:val="0"/>
          <w:numId w:val="9"/>
        </w:numPr>
        <w:rPr>
          <w:color w:val="000000"/>
        </w:rPr>
      </w:pPr>
      <w:r>
        <w:rPr>
          <w:b/>
          <w:bCs/>
          <w:color w:val="000000"/>
        </w:rPr>
        <w:t>Foreign code</w:t>
      </w:r>
      <w:r>
        <w:rPr>
          <w:color w:val="000000"/>
        </w:rPr>
        <w:t xml:space="preserve"> should be embeddable within </w:t>
      </w:r>
      <w:proofErr w:type="spellStart"/>
      <w:r>
        <w:rPr>
          <w:color w:val="000000"/>
        </w:rPr>
        <w:t>InsurML</w:t>
      </w:r>
      <w:proofErr w:type="spellEnd"/>
      <w:r>
        <w:rPr>
          <w:color w:val="000000"/>
        </w:rPr>
        <w:t xml:space="preserve">. This will include </w:t>
      </w:r>
      <w:proofErr w:type="spellStart"/>
      <w:r>
        <w:rPr>
          <w:color w:val="000000"/>
        </w:rPr>
        <w:t>InsurLE</w:t>
      </w:r>
      <w:proofErr w:type="spellEnd"/>
      <w:r>
        <w:rPr>
          <w:color w:val="000000"/>
        </w:rPr>
        <w:t xml:space="preserve">, a </w:t>
      </w:r>
      <w:proofErr w:type="spellStart"/>
      <w:r>
        <w:rPr>
          <w:color w:val="000000"/>
        </w:rPr>
        <w:t>Prolog</w:t>
      </w:r>
      <w:proofErr w:type="spellEnd"/>
      <w:r>
        <w:rPr>
          <w:color w:val="000000"/>
        </w:rPr>
        <w:t>-based controlled natural language to expose the conditional logic expressed in the wording.</w:t>
      </w:r>
    </w:p>
    <w:p w14:paraId="0352A4EE" w14:textId="40F346AB" w:rsidR="00472E16" w:rsidRPr="00472E16" w:rsidRDefault="00472E16" w:rsidP="00472E16">
      <w:pPr>
        <w:pStyle w:val="ListParagraph"/>
        <w:numPr>
          <w:ilvl w:val="0"/>
          <w:numId w:val="9"/>
        </w:numPr>
        <w:rPr>
          <w:color w:val="000000"/>
        </w:rPr>
      </w:pPr>
      <w:r>
        <w:rPr>
          <w:b/>
          <w:bCs/>
          <w:color w:val="000000"/>
        </w:rPr>
        <w:t>Standard modes of emphasis</w:t>
      </w:r>
      <w:r>
        <w:rPr>
          <w:color w:val="000000"/>
        </w:rPr>
        <w:t xml:space="preserve"> – bold, italics, underlining</w:t>
      </w:r>
      <w:r w:rsidR="00306F9A">
        <w:rPr>
          <w:color w:val="000000"/>
        </w:rPr>
        <w:t xml:space="preserve"> and</w:t>
      </w:r>
      <w:r>
        <w:rPr>
          <w:color w:val="000000"/>
        </w:rPr>
        <w:t xml:space="preserve"> colour</w:t>
      </w:r>
      <w:r w:rsidR="00306F9A">
        <w:rPr>
          <w:color w:val="000000"/>
        </w:rPr>
        <w:t>.</w:t>
      </w:r>
    </w:p>
    <w:p w14:paraId="35B68D2D" w14:textId="77777777" w:rsidR="004500F9" w:rsidRDefault="004500F9" w:rsidP="00A31124">
      <w:pPr>
        <w:rPr>
          <w:color w:val="000000"/>
        </w:rPr>
      </w:pPr>
    </w:p>
    <w:p w14:paraId="21F783D4" w14:textId="62100B51" w:rsidR="004500F9" w:rsidRDefault="004500F9" w:rsidP="004500F9">
      <w:pPr>
        <w:pStyle w:val="Heading2"/>
      </w:pPr>
      <w:r>
        <w:t>6. Progress and Plans</w:t>
      </w:r>
    </w:p>
    <w:p w14:paraId="3BFF4B3F" w14:textId="588693B4" w:rsidR="003C5CDA" w:rsidRDefault="00306F9A" w:rsidP="00A31124">
      <w:pPr>
        <w:rPr>
          <w:color w:val="000000"/>
        </w:rPr>
      </w:pPr>
      <w:proofErr w:type="spellStart"/>
      <w:r>
        <w:rPr>
          <w:color w:val="000000"/>
        </w:rPr>
        <w:t>InsurML</w:t>
      </w:r>
      <w:proofErr w:type="spellEnd"/>
      <w:r>
        <w:rPr>
          <w:color w:val="000000"/>
        </w:rPr>
        <w:t xml:space="preserve"> is currently being advanced by </w:t>
      </w:r>
      <w:proofErr w:type="spellStart"/>
      <w:r>
        <w:rPr>
          <w:color w:val="000000"/>
        </w:rPr>
        <w:t>Axiome</w:t>
      </w:r>
      <w:proofErr w:type="spellEnd"/>
      <w:r>
        <w:rPr>
          <w:color w:val="000000"/>
        </w:rPr>
        <w:t xml:space="preserve"> Partners</w:t>
      </w:r>
      <w:r w:rsidR="00DB3D75">
        <w:rPr>
          <w:color w:val="000000"/>
        </w:rPr>
        <w:t xml:space="preserve"> with the ambition of establishing an insurance industry standard</w:t>
      </w:r>
      <w:r>
        <w:rPr>
          <w:color w:val="000000"/>
        </w:rPr>
        <w:t xml:space="preserve">. </w:t>
      </w:r>
      <w:r w:rsidR="00DB3D75">
        <w:rPr>
          <w:color w:val="000000"/>
        </w:rPr>
        <w:t>In some prototyping work, s</w:t>
      </w:r>
      <w:r>
        <w:rPr>
          <w:color w:val="000000"/>
        </w:rPr>
        <w:t>ome of the requirements</w:t>
      </w:r>
      <w:r w:rsidR="004500F9">
        <w:rPr>
          <w:color w:val="000000"/>
        </w:rPr>
        <w:t xml:space="preserve"> outlined above</w:t>
      </w:r>
      <w:r>
        <w:rPr>
          <w:color w:val="000000"/>
        </w:rPr>
        <w:t xml:space="preserve"> have </w:t>
      </w:r>
      <w:r w:rsidR="00DB3D75">
        <w:rPr>
          <w:color w:val="000000"/>
        </w:rPr>
        <w:t xml:space="preserve">already </w:t>
      </w:r>
      <w:r>
        <w:rPr>
          <w:color w:val="000000"/>
        </w:rPr>
        <w:t>been implemented as a DITA specialisation</w:t>
      </w:r>
      <w:r w:rsidR="00F327FB">
        <w:rPr>
          <w:color w:val="000000"/>
        </w:rPr>
        <w:t xml:space="preserve">, </w:t>
      </w:r>
      <w:r w:rsidR="00DB3D75">
        <w:rPr>
          <w:color w:val="000000"/>
        </w:rPr>
        <w:t>using</w:t>
      </w:r>
      <w:r w:rsidR="00F327FB">
        <w:rPr>
          <w:color w:val="000000"/>
        </w:rPr>
        <w:t xml:space="preserve"> </w:t>
      </w:r>
      <w:r>
        <w:rPr>
          <w:color w:val="000000"/>
        </w:rPr>
        <w:t xml:space="preserve">Oxygen Web Author as an authoring environment and GitHub for content management. </w:t>
      </w:r>
    </w:p>
    <w:p w14:paraId="38BD7CD8" w14:textId="65D03A48" w:rsidR="004500F9" w:rsidRDefault="004500F9" w:rsidP="00A31124">
      <w:pPr>
        <w:rPr>
          <w:color w:val="000000"/>
        </w:rPr>
      </w:pPr>
      <w:r>
        <w:rPr>
          <w:color w:val="000000"/>
        </w:rPr>
        <w:t xml:space="preserve">The development of </w:t>
      </w:r>
      <w:proofErr w:type="spellStart"/>
      <w:r>
        <w:rPr>
          <w:color w:val="000000"/>
        </w:rPr>
        <w:t>InsurML</w:t>
      </w:r>
      <w:proofErr w:type="spellEnd"/>
      <w:r>
        <w:rPr>
          <w:color w:val="000000"/>
        </w:rPr>
        <w:t xml:space="preserve"> will be undertaken in three phases:</w:t>
      </w:r>
    </w:p>
    <w:p w14:paraId="2C151A03" w14:textId="499892B1" w:rsidR="004500F9" w:rsidRPr="004500F9" w:rsidRDefault="004500F9" w:rsidP="004500F9">
      <w:pPr>
        <w:pStyle w:val="ListParagraph"/>
        <w:numPr>
          <w:ilvl w:val="0"/>
          <w:numId w:val="10"/>
        </w:numPr>
        <w:rPr>
          <w:color w:val="000000"/>
        </w:rPr>
      </w:pPr>
      <w:r w:rsidRPr="004500F9">
        <w:rPr>
          <w:b/>
          <w:bCs/>
          <w:color w:val="000000"/>
        </w:rPr>
        <w:t xml:space="preserve">Phase </w:t>
      </w:r>
      <w:proofErr w:type="gramStart"/>
      <w:r w:rsidRPr="004500F9">
        <w:rPr>
          <w:b/>
          <w:bCs/>
          <w:color w:val="000000"/>
        </w:rPr>
        <w:t>1</w:t>
      </w:r>
      <w:r w:rsidR="00F327FB">
        <w:rPr>
          <w:b/>
          <w:bCs/>
          <w:color w:val="000000"/>
        </w:rPr>
        <w:t xml:space="preserve"> </w:t>
      </w:r>
      <w:r w:rsidRPr="004500F9">
        <w:rPr>
          <w:color w:val="000000"/>
        </w:rPr>
        <w:t xml:space="preserve"> -</w:t>
      </w:r>
      <w:proofErr w:type="gramEnd"/>
      <w:r w:rsidRPr="004500F9">
        <w:rPr>
          <w:color w:val="000000"/>
        </w:rPr>
        <w:t xml:space="preserve"> Establishing a baseline and 'planting the flag' </w:t>
      </w:r>
      <w:r>
        <w:rPr>
          <w:color w:val="000000"/>
        </w:rPr>
        <w:t>–</w:t>
      </w:r>
      <w:r w:rsidRPr="004500F9">
        <w:rPr>
          <w:color w:val="000000"/>
        </w:rPr>
        <w:t xml:space="preserve"> </w:t>
      </w:r>
      <w:r>
        <w:rPr>
          <w:color w:val="000000"/>
        </w:rPr>
        <w:t>undertaken by a small group of specialists and supported with a limited budget</w:t>
      </w:r>
      <w:r w:rsidR="00DB3D75">
        <w:rPr>
          <w:color w:val="000000"/>
        </w:rPr>
        <w:t>.</w:t>
      </w:r>
    </w:p>
    <w:p w14:paraId="4093B749" w14:textId="6F270125" w:rsidR="004500F9" w:rsidRPr="004500F9" w:rsidRDefault="004500F9" w:rsidP="004500F9">
      <w:pPr>
        <w:pStyle w:val="ListParagraph"/>
        <w:numPr>
          <w:ilvl w:val="0"/>
          <w:numId w:val="10"/>
        </w:numPr>
        <w:rPr>
          <w:color w:val="000000"/>
        </w:rPr>
      </w:pPr>
      <w:r w:rsidRPr="004500F9">
        <w:rPr>
          <w:b/>
          <w:bCs/>
          <w:color w:val="000000"/>
        </w:rPr>
        <w:t>Phase 2</w:t>
      </w:r>
      <w:r w:rsidRPr="004500F9">
        <w:rPr>
          <w:color w:val="000000"/>
        </w:rPr>
        <w:t xml:space="preserve"> - Building on the baseline and bringing </w:t>
      </w:r>
      <w:r>
        <w:rPr>
          <w:color w:val="000000"/>
        </w:rPr>
        <w:t xml:space="preserve">collaborators </w:t>
      </w:r>
      <w:r w:rsidR="00F327FB">
        <w:rPr>
          <w:color w:val="000000"/>
        </w:rPr>
        <w:t xml:space="preserve">(‘early adopters’) </w:t>
      </w:r>
      <w:r>
        <w:rPr>
          <w:color w:val="000000"/>
        </w:rPr>
        <w:t>on</w:t>
      </w:r>
      <w:r w:rsidRPr="004500F9">
        <w:rPr>
          <w:color w:val="000000"/>
        </w:rPr>
        <w:t xml:space="preserve"> board </w:t>
      </w:r>
      <w:r>
        <w:rPr>
          <w:color w:val="000000"/>
        </w:rPr>
        <w:t>–</w:t>
      </w:r>
      <w:r w:rsidRPr="004500F9">
        <w:rPr>
          <w:color w:val="000000"/>
        </w:rPr>
        <w:t xml:space="preserve"> </w:t>
      </w:r>
      <w:r>
        <w:rPr>
          <w:color w:val="000000"/>
        </w:rPr>
        <w:t xml:space="preserve">this would have more extensive funding that </w:t>
      </w:r>
      <w:r w:rsidR="00DB3D75">
        <w:rPr>
          <w:color w:val="000000"/>
        </w:rPr>
        <w:t>will</w:t>
      </w:r>
      <w:r>
        <w:rPr>
          <w:color w:val="000000"/>
        </w:rPr>
        <w:t xml:space="preserve"> be provided</w:t>
      </w:r>
      <w:r w:rsidRPr="004500F9">
        <w:rPr>
          <w:color w:val="000000"/>
        </w:rPr>
        <w:t xml:space="preserve"> by </w:t>
      </w:r>
      <w:r w:rsidR="00DB3D75">
        <w:rPr>
          <w:color w:val="000000"/>
        </w:rPr>
        <w:t xml:space="preserve">key players in </w:t>
      </w:r>
      <w:r w:rsidRPr="004500F9">
        <w:rPr>
          <w:color w:val="000000"/>
        </w:rPr>
        <w:t>the London Market</w:t>
      </w:r>
      <w:r w:rsidR="00F327FB">
        <w:rPr>
          <w:color w:val="000000"/>
        </w:rPr>
        <w:t>.</w:t>
      </w:r>
      <w:r w:rsidRPr="004500F9">
        <w:rPr>
          <w:color w:val="000000"/>
        </w:rPr>
        <w:t xml:space="preserve"> </w:t>
      </w:r>
    </w:p>
    <w:p w14:paraId="7DEB4F52" w14:textId="206CE742" w:rsidR="004500F9" w:rsidRPr="004500F9" w:rsidRDefault="004500F9" w:rsidP="004500F9">
      <w:pPr>
        <w:pStyle w:val="ListParagraph"/>
        <w:numPr>
          <w:ilvl w:val="0"/>
          <w:numId w:val="10"/>
        </w:numPr>
        <w:rPr>
          <w:color w:val="000000"/>
        </w:rPr>
      </w:pPr>
      <w:r w:rsidRPr="004500F9">
        <w:rPr>
          <w:b/>
          <w:bCs/>
          <w:color w:val="000000"/>
        </w:rPr>
        <w:t>Phase 3</w:t>
      </w:r>
      <w:r w:rsidRPr="004500F9">
        <w:rPr>
          <w:color w:val="000000"/>
        </w:rPr>
        <w:t xml:space="preserve"> - Establishing </w:t>
      </w:r>
      <w:proofErr w:type="spellStart"/>
      <w:r w:rsidRPr="004500F9">
        <w:rPr>
          <w:color w:val="000000"/>
        </w:rPr>
        <w:t>InsurML</w:t>
      </w:r>
      <w:proofErr w:type="spellEnd"/>
      <w:r w:rsidRPr="004500F9">
        <w:rPr>
          <w:color w:val="000000"/>
        </w:rPr>
        <w:t xml:space="preserve"> as the de</w:t>
      </w:r>
      <w:r>
        <w:rPr>
          <w:color w:val="000000"/>
        </w:rPr>
        <w:t xml:space="preserve"> </w:t>
      </w:r>
      <w:r w:rsidRPr="004500F9">
        <w:rPr>
          <w:color w:val="000000"/>
        </w:rPr>
        <w:t xml:space="preserve">facto insurance contract standard </w:t>
      </w:r>
      <w:r w:rsidR="00DB3D75">
        <w:rPr>
          <w:color w:val="000000"/>
        </w:rPr>
        <w:t xml:space="preserve">(for policy wordings) </w:t>
      </w:r>
      <w:r>
        <w:rPr>
          <w:color w:val="000000"/>
        </w:rPr>
        <w:t>and rolling it out across the market – f</w:t>
      </w:r>
      <w:r w:rsidRPr="004500F9">
        <w:rPr>
          <w:color w:val="000000"/>
        </w:rPr>
        <w:t xml:space="preserve">unded by the London Market and a </w:t>
      </w:r>
      <w:r w:rsidR="00DB3D75">
        <w:rPr>
          <w:color w:val="000000"/>
        </w:rPr>
        <w:t xml:space="preserve">broader </w:t>
      </w:r>
      <w:r w:rsidRPr="004500F9">
        <w:rPr>
          <w:color w:val="000000"/>
        </w:rPr>
        <w:t>consortium of carriers, brokers etc.</w:t>
      </w:r>
    </w:p>
    <w:p w14:paraId="778DF88F" w14:textId="558F7FAC" w:rsidR="004500F9" w:rsidRPr="00A31124" w:rsidRDefault="00DB3D75" w:rsidP="00A31124">
      <w:pPr>
        <w:rPr>
          <w:color w:val="000000"/>
        </w:rPr>
      </w:pPr>
      <w:r>
        <w:rPr>
          <w:color w:val="000000"/>
        </w:rPr>
        <w:t>We have already received commitment from key players in the insurance industry to move forward with Phase 2 later in the year.</w:t>
      </w:r>
    </w:p>
    <w:sectPr w:rsidR="004500F9" w:rsidRPr="00A31124" w:rsidSect="007E2DA0">
      <w:headerReference w:type="default" r:id="rId13"/>
      <w:headerReference w:type="first" r:id="rId14"/>
      <w:pgSz w:w="12240" w:h="15840" w:code="1"/>
      <w:pgMar w:top="1151" w:right="862" w:bottom="862" w:left="862" w:header="142" w:footer="431"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50ABF" w14:textId="77777777" w:rsidR="00590CB8" w:rsidRDefault="00590CB8">
      <w:pPr>
        <w:spacing w:line="240" w:lineRule="auto"/>
      </w:pPr>
      <w:r>
        <w:separator/>
      </w:r>
    </w:p>
  </w:endnote>
  <w:endnote w:type="continuationSeparator" w:id="0">
    <w:p w14:paraId="6242E5EA" w14:textId="77777777" w:rsidR="00590CB8" w:rsidRDefault="00590C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67A65" w14:textId="77777777" w:rsidR="00590CB8" w:rsidRDefault="00590CB8">
      <w:pPr>
        <w:spacing w:line="240" w:lineRule="auto"/>
      </w:pPr>
      <w:r>
        <w:separator/>
      </w:r>
    </w:p>
  </w:footnote>
  <w:footnote w:type="continuationSeparator" w:id="0">
    <w:p w14:paraId="69C784F0" w14:textId="77777777" w:rsidR="00590CB8" w:rsidRDefault="00590CB8">
      <w:pPr>
        <w:spacing w:line="240" w:lineRule="auto"/>
      </w:pPr>
      <w:r>
        <w:continuationSeparator/>
      </w:r>
    </w:p>
  </w:footnote>
  <w:footnote w:id="1">
    <w:p w14:paraId="50C48588" w14:textId="5C3ADC16" w:rsidR="00A31124" w:rsidRPr="00D01D09" w:rsidRDefault="00A31124">
      <w:pPr>
        <w:pStyle w:val="FootnoteText"/>
      </w:pPr>
      <w:r w:rsidRPr="00A31124">
        <w:rPr>
          <w:rStyle w:val="FootnoteReference"/>
          <w:sz w:val="18"/>
          <w:szCs w:val="18"/>
        </w:rPr>
        <w:footnoteRef/>
      </w:r>
      <w:r w:rsidRPr="00A31124">
        <w:rPr>
          <w:sz w:val="18"/>
          <w:szCs w:val="18"/>
        </w:rPr>
        <w:t xml:space="preserve">  Cummins, John. 2020. “Automating (Re)insurance through Computable Contracting.”  Version 1.1. </w:t>
      </w:r>
      <w:r w:rsidRPr="00D01D09">
        <w:rPr>
          <w:sz w:val="18"/>
          <w:szCs w:val="18"/>
        </w:rPr>
        <w:t>https://axiomepartners.com/wp-content/uploads/2020/08/Automating-Reinsurance-through-Computable-Contracting.pdf.</w:t>
      </w:r>
    </w:p>
  </w:footnote>
  <w:footnote w:id="2">
    <w:p w14:paraId="0D4DD21E" w14:textId="04C69772" w:rsidR="00D01D09" w:rsidRPr="00D01D09" w:rsidRDefault="00D01D09">
      <w:pPr>
        <w:pStyle w:val="FootnoteText"/>
        <w:rPr>
          <w:sz w:val="18"/>
          <w:szCs w:val="18"/>
        </w:rPr>
      </w:pPr>
      <w:r w:rsidRPr="00D01D09">
        <w:rPr>
          <w:rStyle w:val="FootnoteReference"/>
          <w:sz w:val="18"/>
          <w:szCs w:val="18"/>
        </w:rPr>
        <w:footnoteRef/>
      </w:r>
      <w:r w:rsidRPr="00D01D09">
        <w:rPr>
          <w:sz w:val="18"/>
          <w:szCs w:val="18"/>
        </w:rPr>
        <w:t xml:space="preserve"> Cummins, John, and Christopher Clack. 2022. “Transforming commercial contracts through computable contracting.” Journal of Strategic Contracting and Negotiation 6, no. 1 (February): 3-25.</w:t>
      </w:r>
    </w:p>
  </w:footnote>
  <w:footnote w:id="3">
    <w:p w14:paraId="0A6D095B" w14:textId="5CAEEFF3" w:rsidR="00285F96" w:rsidRPr="00285F96" w:rsidRDefault="00285F96">
      <w:pPr>
        <w:pStyle w:val="FootnoteText"/>
        <w:rPr>
          <w:sz w:val="18"/>
          <w:szCs w:val="18"/>
        </w:rPr>
      </w:pPr>
      <w:r w:rsidRPr="00D01D09">
        <w:rPr>
          <w:rStyle w:val="FootnoteReference"/>
          <w:sz w:val="18"/>
          <w:szCs w:val="18"/>
        </w:rPr>
        <w:footnoteRef/>
      </w:r>
      <w:r w:rsidRPr="00D01D09">
        <w:rPr>
          <w:sz w:val="18"/>
          <w:szCs w:val="18"/>
        </w:rPr>
        <w:t xml:space="preserve"> Cummins, John</w:t>
      </w:r>
      <w:r w:rsidR="009B32B8">
        <w:rPr>
          <w:sz w:val="18"/>
          <w:szCs w:val="18"/>
        </w:rPr>
        <w:t xml:space="preserve"> et al</w:t>
      </w:r>
      <w:r w:rsidRPr="00D01D09">
        <w:rPr>
          <w:sz w:val="18"/>
          <w:szCs w:val="18"/>
        </w:rPr>
        <w:t>, 202</w:t>
      </w:r>
      <w:r w:rsidR="008E32FB">
        <w:rPr>
          <w:sz w:val="18"/>
          <w:szCs w:val="18"/>
        </w:rPr>
        <w:t>4</w:t>
      </w:r>
      <w:r w:rsidRPr="00D01D09">
        <w:rPr>
          <w:sz w:val="18"/>
          <w:szCs w:val="18"/>
        </w:rPr>
        <w:t>. “</w:t>
      </w:r>
      <w:r w:rsidR="008E32FB">
        <w:rPr>
          <w:sz w:val="18"/>
          <w:szCs w:val="18"/>
        </w:rPr>
        <w:t xml:space="preserve">Computable Contracts for Insurance: Establishing an </w:t>
      </w:r>
      <w:proofErr w:type="gramStart"/>
      <w:r w:rsidR="008E32FB">
        <w:rPr>
          <w:sz w:val="18"/>
          <w:szCs w:val="18"/>
        </w:rPr>
        <w:t>Insurance</w:t>
      </w:r>
      <w:proofErr w:type="gramEnd"/>
      <w:r w:rsidR="008E32FB">
        <w:rPr>
          <w:sz w:val="18"/>
          <w:szCs w:val="18"/>
        </w:rPr>
        <w:t xml:space="preserve">-specific Controlled Natural Language – </w:t>
      </w:r>
      <w:proofErr w:type="spellStart"/>
      <w:r w:rsidR="008E32FB">
        <w:rPr>
          <w:sz w:val="18"/>
          <w:szCs w:val="18"/>
        </w:rPr>
        <w:t>InsurLE</w:t>
      </w:r>
      <w:proofErr w:type="spellEnd"/>
      <w:r w:rsidR="008E32FB">
        <w:rPr>
          <w:sz w:val="18"/>
          <w:szCs w:val="18"/>
        </w:rPr>
        <w:t>”.</w:t>
      </w:r>
      <w:r w:rsidRPr="00D01D09">
        <w:rPr>
          <w:sz w:val="18"/>
          <w:szCs w:val="18"/>
        </w:rPr>
        <w:t xml:space="preserve"> Journal of </w:t>
      </w:r>
      <w:r w:rsidR="008E32FB">
        <w:rPr>
          <w:sz w:val="18"/>
          <w:szCs w:val="18"/>
        </w:rPr>
        <w:t>British Insurance Law Association</w:t>
      </w:r>
    </w:p>
  </w:footnote>
  <w:footnote w:id="4">
    <w:p w14:paraId="7A61513A" w14:textId="5CDD6002" w:rsidR="000F066B" w:rsidRPr="000F066B" w:rsidRDefault="000F066B">
      <w:pPr>
        <w:pStyle w:val="FootnoteText"/>
        <w:rPr>
          <w:sz w:val="18"/>
          <w:szCs w:val="18"/>
        </w:rPr>
      </w:pPr>
      <w:r w:rsidRPr="000F066B">
        <w:rPr>
          <w:rStyle w:val="FootnoteReference"/>
          <w:sz w:val="18"/>
          <w:szCs w:val="18"/>
        </w:rPr>
        <w:footnoteRef/>
      </w:r>
      <w:r w:rsidRPr="000F066B">
        <w:rPr>
          <w:sz w:val="18"/>
          <w:szCs w:val="18"/>
        </w:rPr>
        <w:t xml:space="preserve"> ‘Components’ here may be thought of in a similar way to ‘topics’ in the DITA World.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282B2" w14:textId="36706198" w:rsidR="00F52A7A" w:rsidRDefault="00000000">
    <w:pPr>
      <w:rPr>
        <w:b/>
        <w:sz w:val="16"/>
        <w:szCs w:val="16"/>
      </w:rPr>
    </w:pPr>
    <w:r>
      <w:rPr>
        <w:noProof/>
      </w:rPr>
      <w:drawing>
        <wp:inline distT="114300" distB="114300" distL="114300" distR="114300" wp14:anchorId="6FED54FD" wp14:editId="73CEEB09">
          <wp:extent cx="970597" cy="408320"/>
          <wp:effectExtent l="0" t="0" r="7620" b="381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70597" cy="408320"/>
                  </a:xfrm>
                  <a:prstGeom prst="rect">
                    <a:avLst/>
                  </a:prstGeom>
                  <a:ln/>
                </pic:spPr>
              </pic:pic>
            </a:graphicData>
          </a:graphic>
        </wp:inline>
      </w:drawing>
    </w:r>
    <w:r>
      <w:t xml:space="preserve">        </w:t>
    </w:r>
    <w:r>
      <w:tab/>
    </w:r>
    <w:r>
      <w:tab/>
    </w:r>
    <w:proofErr w:type="spellStart"/>
    <w:r w:rsidR="00B1363E">
      <w:rPr>
        <w:b/>
        <w:sz w:val="16"/>
        <w:szCs w:val="16"/>
      </w:rPr>
      <w:t>InsurML</w:t>
    </w:r>
    <w:proofErr w:type="spellEnd"/>
    <w:r w:rsidR="00B1363E">
      <w:rPr>
        <w:b/>
        <w:sz w:val="16"/>
        <w:szCs w:val="16"/>
      </w:rPr>
      <w:t xml:space="preserve"> - </w:t>
    </w:r>
    <w:r w:rsidR="00AB0526">
      <w:rPr>
        <w:b/>
        <w:sz w:val="16"/>
        <w:szCs w:val="16"/>
      </w:rPr>
      <w:t>an XML Markup Language for the Commercial Insurance Industry</w:t>
    </w:r>
    <w:r>
      <w:rPr>
        <w:b/>
        <w:sz w:val="16"/>
        <w:szCs w:val="16"/>
      </w:rPr>
      <w:tab/>
      <w:t xml:space="preserve">        </w:t>
    </w:r>
    <w:r w:rsidR="000107A2">
      <w:rPr>
        <w:b/>
        <w:sz w:val="16"/>
        <w:szCs w:val="16"/>
      </w:rPr>
      <w:tab/>
      <w:t xml:space="preserve">      </w:t>
    </w:r>
    <w:r>
      <w:rPr>
        <w:b/>
        <w:sz w:val="16"/>
        <w:szCs w:val="16"/>
      </w:rPr>
      <w:t xml:space="preserve">      </w:t>
    </w:r>
    <w:r w:rsidR="00AB0526">
      <w:rPr>
        <w:b/>
        <w:sz w:val="16"/>
        <w:szCs w:val="16"/>
      </w:rPr>
      <w:t xml:space="preserve">        </w:t>
    </w:r>
    <w:r>
      <w:rPr>
        <w:b/>
        <w:sz w:val="16"/>
        <w:szCs w:val="16"/>
      </w:rPr>
      <w:t xml:space="preserve"> </w:t>
    </w:r>
    <w:r>
      <w:rPr>
        <w:b/>
        <w:sz w:val="16"/>
        <w:szCs w:val="16"/>
      </w:rPr>
      <w:fldChar w:fldCharType="begin"/>
    </w:r>
    <w:r>
      <w:rPr>
        <w:b/>
        <w:sz w:val="16"/>
        <w:szCs w:val="16"/>
      </w:rPr>
      <w:instrText>PAGE</w:instrText>
    </w:r>
    <w:r>
      <w:rPr>
        <w:b/>
        <w:sz w:val="16"/>
        <w:szCs w:val="16"/>
      </w:rPr>
      <w:fldChar w:fldCharType="separate"/>
    </w:r>
    <w:r w:rsidR="002D65A8">
      <w:rPr>
        <w:b/>
        <w:noProof/>
        <w:sz w:val="16"/>
        <w:szCs w:val="16"/>
      </w:rPr>
      <w:t>2</w:t>
    </w:r>
    <w:r>
      <w:rPr>
        <w:b/>
        <w:sz w:val="16"/>
        <w:szCs w:val="16"/>
      </w:rPr>
      <w:fldChar w:fldCharType="end"/>
    </w:r>
  </w:p>
  <w:p w14:paraId="7EDCC106" w14:textId="3F343D2F" w:rsidR="00F52A7A" w:rsidRDefault="007E2DA0">
    <w:pPr>
      <w:pBdr>
        <w:top w:val="nil"/>
        <w:left w:val="nil"/>
        <w:bottom w:val="nil"/>
        <w:right w:val="nil"/>
        <w:between w:val="nil"/>
      </w:pBdr>
      <w:shd w:val="clear" w:color="auto" w:fill="auto"/>
      <w:rPr>
        <w:b/>
        <w:sz w:val="16"/>
        <w:szCs w:val="16"/>
      </w:rPr>
    </w:pPr>
    <w:r>
      <w:rPr>
        <w:noProof/>
      </w:rPr>
      <mc:AlternateContent>
        <mc:Choice Requires="wps">
          <w:drawing>
            <wp:anchor distT="0" distB="0" distL="114300" distR="114300" simplePos="0" relativeHeight="251659264" behindDoc="0" locked="0" layoutInCell="1" allowOverlap="1" wp14:anchorId="00A9197D" wp14:editId="5C51ED74">
              <wp:simplePos x="0" y="0"/>
              <wp:positionH relativeFrom="column">
                <wp:posOffset>-9525</wp:posOffset>
              </wp:positionH>
              <wp:positionV relativeFrom="paragraph">
                <wp:posOffset>70485</wp:posOffset>
              </wp:positionV>
              <wp:extent cx="6677790" cy="0"/>
              <wp:effectExtent l="38100" t="38100" r="66040" b="95250"/>
              <wp:wrapNone/>
              <wp:docPr id="1012605278" name="Straight Connector 1"/>
              <wp:cNvGraphicFramePr/>
              <a:graphic xmlns:a="http://schemas.openxmlformats.org/drawingml/2006/main">
                <a:graphicData uri="http://schemas.microsoft.com/office/word/2010/wordprocessingShape">
                  <wps:wsp>
                    <wps:cNvCnPr/>
                    <wps:spPr>
                      <a:xfrm>
                        <a:off x="0" y="0"/>
                        <a:ext cx="667779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A96CA9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5pt,5.55pt" to="525.0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" strokecolor="#4f81bd [3204]" strokeweight="2pt">
              <v:shadow on="t" color="black" opacity="24903f" origin=",.5" offset="0,.55556mm"/>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08C5D" w14:textId="77777777" w:rsidR="00F52A7A" w:rsidRDefault="00F52A7A">
    <w:pPr>
      <w:spacing w:before="200"/>
      <w:jc w:val="center"/>
      <w:rPr>
        <w:b/>
        <w:sz w:val="24"/>
        <w:szCs w:val="24"/>
      </w:rPr>
    </w:pPr>
  </w:p>
  <w:p w14:paraId="722576DE" w14:textId="77777777" w:rsidR="00F52A7A" w:rsidRDefault="00F52A7A">
    <w:pPr>
      <w:jc w:val="center"/>
      <w:rPr>
        <w:b/>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236DB"/>
    <w:multiLevelType w:val="hybridMultilevel"/>
    <w:tmpl w:val="81204E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C93790"/>
    <w:multiLevelType w:val="multilevel"/>
    <w:tmpl w:val="933AB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D45AA3"/>
    <w:multiLevelType w:val="hybridMultilevel"/>
    <w:tmpl w:val="B4BE63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9CD5966"/>
    <w:multiLevelType w:val="hybridMultilevel"/>
    <w:tmpl w:val="F0466DA6"/>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 w15:restartNumberingAfterBreak="0">
    <w:nsid w:val="3077113F"/>
    <w:multiLevelType w:val="multilevel"/>
    <w:tmpl w:val="C6BCCB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B001198"/>
    <w:multiLevelType w:val="multilevel"/>
    <w:tmpl w:val="58645B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CA6411F"/>
    <w:multiLevelType w:val="hybridMultilevel"/>
    <w:tmpl w:val="270AFA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30C1AF2"/>
    <w:multiLevelType w:val="hybridMultilevel"/>
    <w:tmpl w:val="D49CE5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AD81D30"/>
    <w:multiLevelType w:val="multilevel"/>
    <w:tmpl w:val="DB92F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426165F"/>
    <w:multiLevelType w:val="hybridMultilevel"/>
    <w:tmpl w:val="D6E80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057245">
    <w:abstractNumId w:val="1"/>
  </w:num>
  <w:num w:numId="2" w16cid:durableId="1793671098">
    <w:abstractNumId w:val="8"/>
  </w:num>
  <w:num w:numId="3" w16cid:durableId="1598098442">
    <w:abstractNumId w:val="4"/>
  </w:num>
  <w:num w:numId="4" w16cid:durableId="1182360295">
    <w:abstractNumId w:val="9"/>
  </w:num>
  <w:num w:numId="5" w16cid:durableId="1644843817">
    <w:abstractNumId w:val="2"/>
  </w:num>
  <w:num w:numId="6" w16cid:durableId="1669627297">
    <w:abstractNumId w:val="5"/>
  </w:num>
  <w:num w:numId="7" w16cid:durableId="167333431">
    <w:abstractNumId w:val="7"/>
  </w:num>
  <w:num w:numId="8" w16cid:durableId="420641897">
    <w:abstractNumId w:val="3"/>
  </w:num>
  <w:num w:numId="9" w16cid:durableId="539392843">
    <w:abstractNumId w:val="6"/>
  </w:num>
  <w:num w:numId="10" w16cid:durableId="1313949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A7A"/>
    <w:rsid w:val="0000777F"/>
    <w:rsid w:val="000107A2"/>
    <w:rsid w:val="000209EE"/>
    <w:rsid w:val="00066E4E"/>
    <w:rsid w:val="000F066B"/>
    <w:rsid w:val="00103FA3"/>
    <w:rsid w:val="00145F42"/>
    <w:rsid w:val="00176F2D"/>
    <w:rsid w:val="001C00B6"/>
    <w:rsid w:val="00277C06"/>
    <w:rsid w:val="00285F96"/>
    <w:rsid w:val="0029482D"/>
    <w:rsid w:val="002B54A3"/>
    <w:rsid w:val="002D65A8"/>
    <w:rsid w:val="00306F9A"/>
    <w:rsid w:val="0033036B"/>
    <w:rsid w:val="00367CF3"/>
    <w:rsid w:val="00372628"/>
    <w:rsid w:val="003748E4"/>
    <w:rsid w:val="003C5CDA"/>
    <w:rsid w:val="004500F9"/>
    <w:rsid w:val="00472E16"/>
    <w:rsid w:val="004F282A"/>
    <w:rsid w:val="00590CB8"/>
    <w:rsid w:val="005C75D9"/>
    <w:rsid w:val="00636142"/>
    <w:rsid w:val="00692612"/>
    <w:rsid w:val="0069509A"/>
    <w:rsid w:val="006E0350"/>
    <w:rsid w:val="00736CE5"/>
    <w:rsid w:val="007E2DA0"/>
    <w:rsid w:val="008E32FB"/>
    <w:rsid w:val="0098054A"/>
    <w:rsid w:val="009A5544"/>
    <w:rsid w:val="009B32B8"/>
    <w:rsid w:val="009C4FE5"/>
    <w:rsid w:val="00A25F67"/>
    <w:rsid w:val="00A31124"/>
    <w:rsid w:val="00A46A4A"/>
    <w:rsid w:val="00A97DAB"/>
    <w:rsid w:val="00AB0526"/>
    <w:rsid w:val="00AD6922"/>
    <w:rsid w:val="00B1363E"/>
    <w:rsid w:val="00B34DCA"/>
    <w:rsid w:val="00B40478"/>
    <w:rsid w:val="00B44C7E"/>
    <w:rsid w:val="00B604B6"/>
    <w:rsid w:val="00BE189B"/>
    <w:rsid w:val="00BF2545"/>
    <w:rsid w:val="00CA0106"/>
    <w:rsid w:val="00CF376E"/>
    <w:rsid w:val="00D01D09"/>
    <w:rsid w:val="00D912F1"/>
    <w:rsid w:val="00DB3D75"/>
    <w:rsid w:val="00DC3689"/>
    <w:rsid w:val="00DD73F3"/>
    <w:rsid w:val="00E07CAE"/>
    <w:rsid w:val="00E7335F"/>
    <w:rsid w:val="00E85CB7"/>
    <w:rsid w:val="00E926DB"/>
    <w:rsid w:val="00F217DB"/>
    <w:rsid w:val="00F327FB"/>
    <w:rsid w:val="00F52A7A"/>
    <w:rsid w:val="00FB726D"/>
    <w:rsid w:val="00FE47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7DC3A"/>
  <w15:docId w15:val="{177A991C-9AB4-4E5F-B4DC-866E13A7A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GB" w:eastAsia="en-GB" w:bidi="ar-SA"/>
      </w:rPr>
    </w:rPrDefault>
    <w:pPrDefault>
      <w:pPr>
        <w:shd w:val="clear" w:color="auto" w:fill="FFFFFF"/>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3F3"/>
    <w:pPr>
      <w:spacing w:after="120"/>
    </w:pPr>
  </w:style>
  <w:style w:type="paragraph" w:styleId="Heading1">
    <w:name w:val="heading 1"/>
    <w:basedOn w:val="Normal"/>
    <w:next w:val="Normal"/>
    <w:uiPriority w:val="9"/>
    <w:qFormat/>
    <w:pPr>
      <w:keepNext/>
      <w:keepLines/>
      <w:spacing w:line="240" w:lineRule="auto"/>
      <w:outlineLvl w:val="0"/>
    </w:pPr>
    <w:rPr>
      <w:b/>
      <w:sz w:val="26"/>
      <w:szCs w:val="26"/>
    </w:rPr>
  </w:style>
  <w:style w:type="paragraph" w:styleId="Heading2">
    <w:name w:val="heading 2"/>
    <w:basedOn w:val="Normal"/>
    <w:next w:val="Normal"/>
    <w:uiPriority w:val="9"/>
    <w:unhideWhenUsed/>
    <w:qFormat/>
    <w:pPr>
      <w:keepNext/>
      <w:keepLines/>
      <w:spacing w:before="120" w:after="60" w:line="240" w:lineRule="auto"/>
      <w:outlineLvl w:val="1"/>
    </w:pPr>
    <w:rPr>
      <w:b/>
      <w:sz w:val="24"/>
      <w:szCs w:val="24"/>
    </w:rPr>
  </w:style>
  <w:style w:type="paragraph" w:styleId="Heading3">
    <w:name w:val="heading 3"/>
    <w:basedOn w:val="Normal"/>
    <w:next w:val="Normal"/>
    <w:uiPriority w:val="9"/>
    <w:semiHidden/>
    <w:unhideWhenUsed/>
    <w:qFormat/>
    <w:pPr>
      <w:keepNext/>
      <w:keepLines/>
      <w:outlineLvl w:val="2"/>
    </w:pPr>
    <w:rPr>
      <w:b/>
      <w:color w:val="000000"/>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7E2DA0"/>
    <w:pPr>
      <w:tabs>
        <w:tab w:val="center" w:pos="4513"/>
        <w:tab w:val="right" w:pos="9026"/>
      </w:tabs>
      <w:spacing w:line="240" w:lineRule="auto"/>
    </w:pPr>
  </w:style>
  <w:style w:type="character" w:customStyle="1" w:styleId="HeaderChar">
    <w:name w:val="Header Char"/>
    <w:basedOn w:val="DefaultParagraphFont"/>
    <w:link w:val="Header"/>
    <w:uiPriority w:val="99"/>
    <w:rsid w:val="007E2DA0"/>
    <w:rPr>
      <w:shd w:val="clear" w:color="auto" w:fill="FFFFFF"/>
    </w:rPr>
  </w:style>
  <w:style w:type="paragraph" w:styleId="Footer">
    <w:name w:val="footer"/>
    <w:basedOn w:val="Normal"/>
    <w:link w:val="FooterChar"/>
    <w:uiPriority w:val="99"/>
    <w:unhideWhenUsed/>
    <w:rsid w:val="007E2DA0"/>
    <w:pPr>
      <w:tabs>
        <w:tab w:val="center" w:pos="4513"/>
        <w:tab w:val="right" w:pos="9026"/>
      </w:tabs>
      <w:spacing w:line="240" w:lineRule="auto"/>
    </w:pPr>
  </w:style>
  <w:style w:type="character" w:customStyle="1" w:styleId="FooterChar">
    <w:name w:val="Footer Char"/>
    <w:basedOn w:val="DefaultParagraphFont"/>
    <w:link w:val="Footer"/>
    <w:uiPriority w:val="99"/>
    <w:rsid w:val="007E2DA0"/>
    <w:rPr>
      <w:shd w:val="clear" w:color="auto" w:fill="FFFFFF"/>
    </w:rPr>
  </w:style>
  <w:style w:type="character" w:styleId="Hyperlink">
    <w:name w:val="Hyperlink"/>
    <w:basedOn w:val="DefaultParagraphFont"/>
    <w:uiPriority w:val="99"/>
    <w:unhideWhenUsed/>
    <w:rsid w:val="007E2DA0"/>
    <w:rPr>
      <w:color w:val="0000FF" w:themeColor="hyperlink"/>
      <w:u w:val="single"/>
    </w:rPr>
  </w:style>
  <w:style w:type="paragraph" w:styleId="FootnoteText">
    <w:name w:val="footnote text"/>
    <w:basedOn w:val="Normal"/>
    <w:link w:val="FootnoteTextChar"/>
    <w:uiPriority w:val="99"/>
    <w:semiHidden/>
    <w:unhideWhenUsed/>
    <w:rsid w:val="007E2DA0"/>
    <w:pPr>
      <w:shd w:val="clear" w:color="auto" w:fill="auto"/>
      <w:spacing w:line="240" w:lineRule="auto"/>
    </w:pPr>
    <w:rPr>
      <w:rFonts w:eastAsiaTheme="minorHAnsi"/>
      <w:color w:val="auto"/>
      <w:kern w:val="2"/>
      <w:sz w:val="20"/>
      <w:szCs w:val="20"/>
      <w:lang w:eastAsia="en-US"/>
      <w14:ligatures w14:val="standardContextual"/>
    </w:rPr>
  </w:style>
  <w:style w:type="character" w:customStyle="1" w:styleId="FootnoteTextChar">
    <w:name w:val="Footnote Text Char"/>
    <w:basedOn w:val="DefaultParagraphFont"/>
    <w:link w:val="FootnoteText"/>
    <w:uiPriority w:val="99"/>
    <w:semiHidden/>
    <w:rsid w:val="007E2DA0"/>
    <w:rPr>
      <w:rFonts w:eastAsiaTheme="minorHAnsi"/>
      <w:color w:val="auto"/>
      <w:kern w:val="2"/>
      <w:sz w:val="20"/>
      <w:szCs w:val="20"/>
      <w:lang w:eastAsia="en-US"/>
      <w14:ligatures w14:val="standardContextual"/>
    </w:rPr>
  </w:style>
  <w:style w:type="character" w:styleId="FootnoteReference">
    <w:name w:val="footnote reference"/>
    <w:basedOn w:val="DefaultParagraphFont"/>
    <w:uiPriority w:val="99"/>
    <w:semiHidden/>
    <w:unhideWhenUsed/>
    <w:rsid w:val="007E2DA0"/>
    <w:rPr>
      <w:vertAlign w:val="superscript"/>
    </w:rPr>
  </w:style>
  <w:style w:type="paragraph" w:styleId="ListParagraph">
    <w:name w:val="List Paragraph"/>
    <w:basedOn w:val="Normal"/>
    <w:uiPriority w:val="34"/>
    <w:qFormat/>
    <w:rsid w:val="003C5C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110578">
      <w:bodyDiv w:val="1"/>
      <w:marLeft w:val="0"/>
      <w:marRight w:val="0"/>
      <w:marTop w:val="0"/>
      <w:marBottom w:val="0"/>
      <w:divBdr>
        <w:top w:val="none" w:sz="0" w:space="0" w:color="auto"/>
        <w:left w:val="none" w:sz="0" w:space="0" w:color="auto"/>
        <w:bottom w:val="none" w:sz="0" w:space="0" w:color="auto"/>
        <w:right w:val="none" w:sz="0" w:space="0" w:color="auto"/>
      </w:divBdr>
    </w:div>
    <w:div w:id="535388927">
      <w:bodyDiv w:val="1"/>
      <w:marLeft w:val="0"/>
      <w:marRight w:val="0"/>
      <w:marTop w:val="0"/>
      <w:marBottom w:val="0"/>
      <w:divBdr>
        <w:top w:val="none" w:sz="0" w:space="0" w:color="auto"/>
        <w:left w:val="none" w:sz="0" w:space="0" w:color="auto"/>
        <w:bottom w:val="none" w:sz="0" w:space="0" w:color="auto"/>
        <w:right w:val="none" w:sz="0" w:space="0" w:color="auto"/>
      </w:divBdr>
    </w:div>
    <w:div w:id="1162888534">
      <w:bodyDiv w:val="1"/>
      <w:marLeft w:val="0"/>
      <w:marRight w:val="0"/>
      <w:marTop w:val="0"/>
      <w:marBottom w:val="0"/>
      <w:divBdr>
        <w:top w:val="none" w:sz="0" w:space="0" w:color="auto"/>
        <w:left w:val="none" w:sz="0" w:space="0" w:color="auto"/>
        <w:bottom w:val="none" w:sz="0" w:space="0" w:color="auto"/>
        <w:right w:val="none" w:sz="0" w:space="0" w:color="auto"/>
      </w:divBdr>
    </w:div>
    <w:div w:id="1218056502">
      <w:bodyDiv w:val="1"/>
      <w:marLeft w:val="0"/>
      <w:marRight w:val="0"/>
      <w:marTop w:val="0"/>
      <w:marBottom w:val="0"/>
      <w:divBdr>
        <w:top w:val="none" w:sz="0" w:space="0" w:color="auto"/>
        <w:left w:val="none" w:sz="0" w:space="0" w:color="auto"/>
        <w:bottom w:val="none" w:sz="0" w:space="0" w:color="auto"/>
        <w:right w:val="none" w:sz="0" w:space="0" w:color="auto"/>
      </w:divBdr>
    </w:div>
    <w:div w:id="1254582924">
      <w:bodyDiv w:val="1"/>
      <w:marLeft w:val="0"/>
      <w:marRight w:val="0"/>
      <w:marTop w:val="0"/>
      <w:marBottom w:val="0"/>
      <w:divBdr>
        <w:top w:val="none" w:sz="0" w:space="0" w:color="auto"/>
        <w:left w:val="none" w:sz="0" w:space="0" w:color="auto"/>
        <w:bottom w:val="none" w:sz="0" w:space="0" w:color="auto"/>
        <w:right w:val="none" w:sz="0" w:space="0" w:color="auto"/>
      </w:divBdr>
    </w:div>
    <w:div w:id="18845613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2DC027-EDA5-444E-8B43-756E1CE04E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7</Pages>
  <Words>2329</Words>
  <Characters>13277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Cummins</dc:creator>
  <cp:lastModifiedBy>John Cummins</cp:lastModifiedBy>
  <cp:revision>3</cp:revision>
  <dcterms:created xsi:type="dcterms:W3CDTF">2025-06-04T10:45:00Z</dcterms:created>
  <dcterms:modified xsi:type="dcterms:W3CDTF">2025-06-04T10:47:00Z</dcterms:modified>
</cp:coreProperties>
</file>