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  <w:r>
        <w:rPr>
          <w:b/>
          <w:bCs/>
          <w:color w:val="457A00"/>
          <w:sz w:val="64"/>
          <w:szCs w:val="64"/>
        </w:rPr>
        <w:t xml:space="preserve">Wocheneinkauf</w:t>
      </w:r>
    </w:p>
    <w:p>
      <w:pPr>
        <w:spacing w:after="400" w:before="80"/>
      </w:pPr>
      <w:r>
        <w:rPr>
          <w:color w:val="1C1D1B"/>
          <w:sz w:val="26"/>
          <w:szCs w:val="26"/>
        </w:rPr>
        <w:t xml:space="preserve">Die Seiten der Anwendung, ihre Benutzeraktionen und die dahinterliegenden Datenbanktabellen</w:t>
      </w:r>
    </w:p>
    <w:p>
      <w:pPr>
        <w:pBdr>
          <w:bottom w:val="single" w:color="C86D51" w:sz="12" w:space="8"/>
        </w:pBdr>
      </w:pPr>
      <w:r>
        <w:t xml:space="preserve"/>
      </w:r>
    </w:p>
    <w:p>
      <w:pPr>
        <w:spacing w:before="300"/>
      </w:pPr>
      <w:r>
        <w:rPr>
          <w:color w:val="6A6B66"/>
          <w:sz w:val="21"/>
          <w:szCs w:val="21"/>
        </w:rPr>
        <w:t xml:space="preserve">Stand: 4. August 2026</w:t>
      </w:r>
    </w:p>
    <w:p>
      <w:r>
        <w:rPr>
          <w:color w:val="6A6B66"/>
          <w:sz w:val="21"/>
          <w:szCs w:val="21"/>
        </w:rPr>
        <w:t xml:space="preserve">Laravel 13 · MariaDB · 21 Migrationen · 226 Tests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457A00"/>
          <w:sz w:val="32"/>
          <w:szCs w:val="32"/>
        </w:rPr>
        <w:t xml:space="preserve">Inhalt</w:t>
      </w:r>
    </w:p>
    <w:p>
      <w:pPr>
        <w:spacing w:after="20" w:before="160"/>
      </w:pPr>
      <w:r>
        <w:rPr>
          <w:b/>
          <w:bCs/>
          <w:color w:val="457A00"/>
          <w:sz w:val="23"/>
          <w:szCs w:val="23"/>
        </w:rPr>
        <w:t xml:space="preserve">Überblick</w:t>
      </w:r>
    </w:p>
    <w:p>
      <w:pPr>
        <w:spacing w:after="60"/>
        <w:ind w:left="280"/>
      </w:pPr>
      <w:r>
        <w:rPr>
          <w:color w:val="6A6B66"/>
          <w:sz w:val="19"/>
          <w:szCs w:val="19"/>
        </w:rPr>
        <w:t xml:space="preserve">Mandantentrennung, Rollen und Rechte</w:t>
      </w:r>
    </w:p>
    <w:p>
      <w:pPr>
        <w:spacing w:after="20" w:before="160"/>
      </w:pPr>
      <w:r>
        <w:rPr>
          <w:b/>
          <w:bCs/>
          <w:color w:val="457A00"/>
          <w:sz w:val="23"/>
          <w:szCs w:val="23"/>
        </w:rPr>
        <w:t xml:space="preserve">Die Seiten im Einzelnen</w:t>
      </w:r>
    </w:p>
    <w:p>
      <w:pPr>
        <w:spacing w:after="60"/>
        <w:ind w:left="280"/>
      </w:pPr>
      <w:r>
        <w:rPr>
          <w:color w:val="6A6B66"/>
          <w:sz w:val="19"/>
          <w:szCs w:val="19"/>
        </w:rPr>
        <w:t xml:space="preserve">Anmeldung, Registrierung, Passwort · Einladung annehmen · Übersicht · Einkaufsliste · Liste drucken oder teilen · Bestand des Grundvorrats · Assistent „Neue Woche" · Archiv · Rezepte · Rezept ansehen und pflegen · Vorlagen · Artikel (Katalog) · Warengruppen · Märkte und Regalbereiche · Familie · Konto · Geräteabgleich (Schnittstelle) · Health-Check (Betrieb)</w:t>
      </w:r>
    </w:p>
    <w:p>
      <w:pPr>
        <w:spacing w:after="20" w:before="160"/>
      </w:pPr>
      <w:r>
        <w:rPr>
          <w:b/>
          <w:bCs/>
          <w:color w:val="457A00"/>
          <w:sz w:val="23"/>
          <w:szCs w:val="23"/>
        </w:rPr>
        <w:t xml:space="preserve">Die Datenbanktabellen</w:t>
      </w:r>
    </w:p>
    <w:p>
      <w:pPr>
        <w:spacing w:after="60"/>
        <w:ind w:left="280"/>
      </w:pPr>
      <w:r>
        <w:rPr>
          <w:color w:val="6A6B66"/>
          <w:sz w:val="19"/>
          <w:szCs w:val="19"/>
        </w:rPr>
        <w:t xml:space="preserve">Alle Tabellen nach Bereichen, mit ihren wichtigsten Spalten</w:t>
      </w:r>
    </w:p>
    <w:p>
      <w:pPr>
        <w:spacing w:after="20" w:before="160"/>
      </w:pPr>
      <w:r>
        <w:rPr>
          <w:b/>
          <w:bCs/>
          <w:color w:val="457A00"/>
          <w:sz w:val="23"/>
          <w:szCs w:val="23"/>
        </w:rPr>
        <w:t xml:space="preserve">Drei Eigenheiten, die man kennen sollte</w:t>
      </w:r>
    </w:p>
    <w:p>
      <w:pPr>
        <w:spacing w:after="60"/>
        <w:ind w:left="280"/>
      </w:pPr>
      <w:r>
        <w:rPr>
          <w:color w:val="6A6B66"/>
          <w:sz w:val="19"/>
          <w:szCs w:val="19"/>
        </w:rPr>
        <w:t xml:space="preserve">Eine aktive Liste · Grundvorrat · Freitext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457A00"/>
          <w:sz w:val="32"/>
          <w:szCs w:val="32"/>
        </w:rPr>
        <w:t xml:space="preserve">Überblick</w:t>
      </w:r>
    </w:p>
    <w:p>
      <w:pPr>
        <w:spacing w:after="100" w:before="100"/>
      </w:pPr>
      <w:r>
        <w:rPr>
          <w:color w:val="1C1D1B"/>
          <w:sz w:val="21"/>
          <w:szCs w:val="21"/>
        </w:rPr>
        <w:t xml:space="preserve">Wocheneinkauf ist eine mandantenfähige Webanwendung für den Familieneinkauf: Einkaufsliste, Artikelkatalog, Märkte mit Laufreihenfolge, Vorlagen, Grundvorrat und Rezepte. Jede Familie ist ein eigener Mandant; alle fachlichen Daten hängen an ihrer Familien-ID.</w:t>
      </w:r>
    </w:p>
    <w:p>
      <w:pPr>
        <w:pStyle w:val="Heading3"/>
        <w:spacing w:after="80" w:before="200"/>
      </w:pPr>
      <w:r>
        <w:rPr>
          <w:b/>
          <w:bCs/>
          <w:color w:val="C86D51"/>
          <w:sz w:val="22"/>
          <w:szCs w:val="22"/>
        </w:rPr>
        <w:t xml:space="preserve">Wie die Mandantentrennung wirkt</w:t>
      </w:r>
    </w:p>
    <w:tbl>
      <w:tblPr>
        <w:tblW w:type="dxa" w:w="9360"/>
        <w:tblBorders>
          <w:top w:val="single" w:color="DCD6CB" w:sz="4"/>
          <w:left w:val="single" w:color="DCD6CB" w:sz="4"/>
          <w:bottom w:val="single" w:color="DCD6CB" w:sz="4"/>
          <w:right w:val="single" w:color="DCD6CB" w:sz="4"/>
          <w:insideH w:val="single" w:color="DCD6CB" w:sz="4"/>
          <w:insideV w:val="single" w:color="DCD6CB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457A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DFBF7"/>
                <w:sz w:val="19"/>
                <w:szCs w:val="19"/>
              </w:rPr>
              <w:t xml:space="preserve">Ebene</w:t>
            </w:r>
          </w:p>
        </w:tc>
        <w:tc>
          <w:tcPr>
            <w:tcW w:type="dxa" w:w="6260"/>
            <w:shd w:fill="457A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DFBF7"/>
                <w:sz w:val="19"/>
                <w:szCs w:val="19"/>
              </w:rPr>
              <w:t xml:space="preserve">Wirkung</w:t>
            </w:r>
          </w:p>
        </w:tc>
      </w:tr>
      <w:tr>
        <w:tc>
          <w:tcPr>
            <w:tcW w:type="dxa" w:w="31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Global Scope im Code</w:t>
            </w:r>
          </w:p>
        </w:tc>
        <w:tc>
          <w:tcPr>
            <w:tcW w:type="dxa" w:w="62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Jede Abfrage wird automatisch auf die aktuelle Familie eingeschränkt; beim Anlegen wird die Familien-ID selbst gesetzt. Ein Datensatz einer fremden Familie führt zu „404 nicht gefunden", ohne dass eine Prüfung im Controller stünde.</w:t>
            </w:r>
          </w:p>
        </w:tc>
      </w:tr>
      <w:tr>
        <w:tc>
          <w:tcPr>
            <w:tcW w:type="dxa" w:w="310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Verbund-Fremdschlüssel</w:t>
            </w:r>
          </w:p>
        </w:tc>
        <w:tc>
          <w:tcPr>
            <w:tcW w:type="dxa" w:w="626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Kindzeilen verweisen über (id, family_id) auf ihre Eltern. Das greift auch dann, wenn jemand an der Anwendung vorbei in die Datenbank schreibt.</w:t>
            </w:r>
          </w:p>
        </w:tc>
      </w:tr>
      <w:tr>
        <w:tc>
          <w:tcPr>
            <w:tcW w:type="dxa" w:w="31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Eingaben nachladen</w:t>
            </w:r>
          </w:p>
        </w:tc>
        <w:tc>
          <w:tcPr>
            <w:tcW w:type="dxa" w:w="62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IDs aus Formularen werden über den Global Scope neu geladen, statt ihnen zu vertrauen. Eine untergeschobene fremde ID trifft ins Leere statt in einen Datenbankfehler.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C86D51"/>
          <w:sz w:val="22"/>
          <w:szCs w:val="22"/>
        </w:rPr>
        <w:t xml:space="preserve">Wer was darf</w:t>
      </w:r>
    </w:p>
    <w:tbl>
      <w:tblPr>
        <w:tblW w:type="dxa" w:w="9360"/>
        <w:tblBorders>
          <w:top w:val="single" w:color="DCD6CB" w:sz="4"/>
          <w:left w:val="single" w:color="DCD6CB" w:sz="4"/>
          <w:bottom w:val="single" w:color="DCD6CB" w:sz="4"/>
          <w:right w:val="single" w:color="DCD6CB" w:sz="4"/>
          <w:insideH w:val="single" w:color="DCD6CB" w:sz="4"/>
          <w:insideV w:val="single" w:color="DCD6CB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457A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DFBF7"/>
                <w:sz w:val="19"/>
                <w:szCs w:val="19"/>
              </w:rPr>
              <w:t xml:space="preserve">Bereich</w:t>
            </w:r>
          </w:p>
        </w:tc>
        <w:tc>
          <w:tcPr>
            <w:tcW w:type="dxa" w:w="6260"/>
            <w:shd w:fill="457A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DFBF7"/>
                <w:sz w:val="19"/>
                <w:szCs w:val="19"/>
              </w:rPr>
              <w:t xml:space="preserve">Rolle</w:t>
            </w:r>
          </w:p>
        </w:tc>
      </w:tr>
      <w:tr>
        <w:tc>
          <w:tcPr>
            <w:tcW w:type="dxa" w:w="31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Warengruppen, Märkte, Regalbereiche, Familieneinstellungen</w:t>
            </w:r>
          </w:p>
        </w:tc>
        <w:tc>
          <w:tcPr>
            <w:tcW w:type="dxa" w:w="62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Owner und Admin — diese Angaben gelten für alle Mitglieder gleichzeitig.</w:t>
            </w:r>
          </w:p>
        </w:tc>
      </w:tr>
      <w:tr>
        <w:tc>
          <w:tcPr>
            <w:tcW w:type="dxa" w:w="310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Artikelkatalog, Grundvorrat, Vorlagen, Rezepte, Einkaufsliste</w:t>
            </w:r>
          </w:p>
        </w:tc>
        <w:tc>
          <w:tcPr>
            <w:tcW w:type="dxa" w:w="626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Jedes Mitglied, auch die Rolle „child". Einkaufen ist Alltag, keine Strukturentscheidung.</w:t>
            </w:r>
          </w:p>
        </w:tc>
      </w:tr>
      <w:tr>
        <w:tc>
          <w:tcPr>
            <w:tcW w:type="dxa" w:w="31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Archiveintrag endgültig löschen</w:t>
            </w:r>
          </w:p>
        </w:tc>
        <w:tc>
          <w:tcPr>
            <w:tcW w:type="dxa" w:w="62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Owner und Admin — Historie der ganzen Familie, nicht wiederherstellbar.</w:t>
            </w:r>
          </w:p>
        </w:tc>
      </w:tr>
      <w:tr>
        <w:tc>
          <w:tcPr>
            <w:tcW w:type="dxa" w:w="310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Mitglieder entfernen, Rollen ändern, Familie löschen</w:t>
            </w:r>
          </w:p>
        </w:tc>
        <w:tc>
          <w:tcPr>
            <w:tcW w:type="dxa" w:w="626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Nur der Owner.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457A00"/>
          <w:sz w:val="32"/>
          <w:szCs w:val="32"/>
        </w:rPr>
        <w:t xml:space="preserve">Die Seiten im Einzelnen</w:t>
      </w:r>
    </w:p>
    <w:p>
      <w:pPr>
        <w:spacing w:after="100" w:before="100"/>
      </w:pPr>
      <w:r>
        <w:rPr>
          <w:color w:val="6A6B66"/>
          <w:sz w:val="21"/>
          <w:szCs w:val="21"/>
        </w:rPr>
        <w:t xml:space="preserve">Jede Seite mit ihrem Zweck, den möglichen Benutzeraktionen und den Tabellen, die dabei gelesen oder geschrieben werden.</w:t>
      </w:r>
    </w:p>
    <w:p>
      <w:pPr>
        <w:pStyle w:val="Heading2"/>
        <w:pBdr>
          <w:bottom w:val="single" w:color="457A00" w:sz="6" w:space="4"/>
        </w:pBdr>
        <w:spacing w:after="120" w:before="280"/>
      </w:pPr>
      <w:r>
        <w:rPr>
          <w:b/>
          <w:bCs/>
          <w:color w:val="1C1D1B"/>
          <w:sz w:val="25"/>
          <w:szCs w:val="25"/>
        </w:rPr>
        <w:t xml:space="preserve">Anmeldung, Registrierung, Passwort</w:t>
      </w:r>
    </w:p>
    <w:p>
      <w:pPr>
        <w:spacing w:after="140" w:before="40"/>
      </w:pPr>
      <w:r>
        <w:rPr>
          <w:rFonts w:ascii="Consolas" w:cs="Consolas" w:eastAsia="Consolas" w:hAnsi="Consolas"/>
          <w:color w:val="457A00"/>
          <w:sz w:val="19"/>
          <w:szCs w:val="19"/>
        </w:rPr>
        <w:t xml:space="preserve">/login · /register · /forgot-password · /reset-password · /verify-email</w:t>
      </w:r>
    </w:p>
    <w:p>
      <w:pPr>
        <w:spacing w:after="100" w:before="100"/>
      </w:pPr>
      <w:r>
        <w:rPr>
          <w:color w:val="1C1D1B"/>
          <w:sz w:val="21"/>
          <w:szCs w:val="21"/>
        </w:rPr>
        <w:t xml:space="preserve">Zugang zur Anwendung. Die Registrierung legt zugleich eine Familie an und stattet sie mit dem Startdatensatz aus: 15 Warengruppen, rund 90 Stichwortregeln und einem Standardmarkt „Supermarkt" mit 10 Regalbereichen.</w:t>
      </w:r>
    </w:p>
    <w:tbl>
      <w:tblPr>
        <w:tblW w:type="dxa" w:w="9360"/>
        <w:tblBorders>
          <w:top w:val="single" w:color="DCD6CB" w:sz="4"/>
          <w:left w:val="single" w:color="DCD6CB" w:sz="4"/>
          <w:bottom w:val="single" w:color="DCD6CB" w:sz="4"/>
          <w:right w:val="single" w:color="DCD6CB" w:sz="4"/>
          <w:insideH w:val="single" w:color="DCD6CB" w:sz="4"/>
          <w:insideV w:val="single" w:color="DCD6CB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457A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DFBF7"/>
                <w:sz w:val="19"/>
                <w:szCs w:val="19"/>
              </w:rPr>
              <w:t xml:space="preserve">Benutzeraktion</w:t>
            </w:r>
          </w:p>
        </w:tc>
        <w:tc>
          <w:tcPr>
            <w:tcW w:type="dxa" w:w="6260"/>
            <w:shd w:fill="457A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DFBF7"/>
                <w:sz w:val="19"/>
                <w:szCs w:val="19"/>
              </w:rPr>
              <w:t xml:space="preserve">Wirkung</w:t>
            </w:r>
          </w:p>
        </w:tc>
      </w:tr>
      <w:tr>
        <w:tc>
          <w:tcPr>
            <w:tcW w:type="dxa" w:w="31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Konto anlegen</w:t>
            </w:r>
          </w:p>
        </w:tc>
        <w:tc>
          <w:tcPr>
            <w:tcW w:type="dxa" w:w="62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Registrierung mit Name, E-Mail, Passwort. Es entsteht eine Familie, der Nutzer wird deren Owner.</w:t>
            </w:r>
          </w:p>
        </w:tc>
      </w:tr>
      <w:tr>
        <w:tc>
          <w:tcPr>
            <w:tcW w:type="dxa" w:w="310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E-Mail bestätigen</w:t>
            </w:r>
          </w:p>
        </w:tc>
        <w:tc>
          <w:tcPr>
            <w:tcW w:type="dxa" w:w="626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Bestätigungslink aus der Willkommens-Mail. Ohne Bestätigung ist keine Seite erreichbar.</w:t>
            </w:r>
          </w:p>
        </w:tc>
      </w:tr>
      <w:tr>
        <w:tc>
          <w:tcPr>
            <w:tcW w:type="dxa" w:w="31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Anmelden / Abmelden</w:t>
            </w:r>
          </w:p>
        </w:tc>
        <w:tc>
          <w:tcPr>
            <w:tcW w:type="dxa" w:w="62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Sitzung beginnen oder beenden. Nach mehreren Fehlversuchen greift eine Sperre.</w:t>
            </w:r>
          </w:p>
        </w:tc>
      </w:tr>
      <w:tr>
        <w:tc>
          <w:tcPr>
            <w:tcW w:type="dxa" w:w="310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Passwort vergessen</w:t>
            </w:r>
          </w:p>
        </w:tc>
        <w:tc>
          <w:tcPr>
            <w:tcW w:type="dxa" w:w="626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Rücksetzlink anfordern und einlösen.</w:t>
            </w:r>
          </w:p>
        </w:tc>
      </w:tr>
    </w:tbl>
    <w:p>
      <w:pPr>
        <w:spacing w:after="220" w:before="100"/>
      </w:pPr>
      <w:r>
        <w:rPr>
          <w:b/>
          <w:bCs/>
          <w:color w:val="6A6B66"/>
          <w:sz w:val="19"/>
          <w:szCs w:val="19"/>
        </w:rPr>
        <w:t xml:space="preserve">Datenbanktabellen: </w:t>
      </w:r>
      <w:r>
        <w:rPr>
          <w:rFonts w:ascii="Consolas" w:cs="Consolas" w:eastAsia="Consolas" w:hAnsi="Consolas"/>
          <w:color w:val="6A6B66"/>
          <w:sz w:val="19"/>
          <w:szCs w:val="19"/>
        </w:rPr>
        <w:t xml:space="preserve">users · families · family_user · sessions · password_reset_tokens · login_attempts · activity_log</w:t>
      </w:r>
    </w:p>
    <w:p>
      <w:pPr>
        <w:pStyle w:val="Heading2"/>
        <w:pBdr>
          <w:bottom w:val="single" w:color="457A00" w:sz="6" w:space="4"/>
        </w:pBdr>
        <w:spacing w:after="120" w:before="280"/>
      </w:pPr>
      <w:r>
        <w:rPr>
          <w:b/>
          <w:bCs/>
          <w:color w:val="1C1D1B"/>
          <w:sz w:val="25"/>
          <w:szCs w:val="25"/>
        </w:rPr>
        <w:t xml:space="preserve">Einladung annehmen</w:t>
      </w:r>
    </w:p>
    <w:p>
      <w:pPr>
        <w:spacing w:after="140" w:before="40"/>
      </w:pPr>
      <w:r>
        <w:rPr>
          <w:rFonts w:ascii="Consolas" w:cs="Consolas" w:eastAsia="Consolas" w:hAnsi="Consolas"/>
          <w:color w:val="457A00"/>
          <w:sz w:val="19"/>
          <w:szCs w:val="19"/>
        </w:rPr>
        <w:t xml:space="preserve">/einladung/{token}</w:t>
      </w:r>
    </w:p>
    <w:p>
      <w:pPr>
        <w:spacing w:after="100" w:before="100"/>
      </w:pPr>
      <w:r>
        <w:rPr>
          <w:color w:val="1C1D1B"/>
          <w:sz w:val="21"/>
          <w:szCs w:val="21"/>
        </w:rPr>
        <w:t xml:space="preserve">Die einzige Seite, die auch ohne Konto erreichbar ist — wer eingeladen wird, hat in der Regel noch keines. Der Token bestimmt die Familie und die künftige Rolle.</w:t>
      </w:r>
    </w:p>
    <w:tbl>
      <w:tblPr>
        <w:tblW w:type="dxa" w:w="9360"/>
        <w:tblBorders>
          <w:top w:val="single" w:color="DCD6CB" w:sz="4"/>
          <w:left w:val="single" w:color="DCD6CB" w:sz="4"/>
          <w:bottom w:val="single" w:color="DCD6CB" w:sz="4"/>
          <w:right w:val="single" w:color="DCD6CB" w:sz="4"/>
          <w:insideH w:val="single" w:color="DCD6CB" w:sz="4"/>
          <w:insideV w:val="single" w:color="DCD6CB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457A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DFBF7"/>
                <w:sz w:val="19"/>
                <w:szCs w:val="19"/>
              </w:rPr>
              <w:t xml:space="preserve">Benutzeraktion</w:t>
            </w:r>
          </w:p>
        </w:tc>
        <w:tc>
          <w:tcPr>
            <w:tcW w:type="dxa" w:w="6260"/>
            <w:shd w:fill="457A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DFBF7"/>
                <w:sz w:val="19"/>
                <w:szCs w:val="19"/>
              </w:rPr>
              <w:t xml:space="preserve">Wirkung</w:t>
            </w:r>
          </w:p>
        </w:tc>
      </w:tr>
      <w:tr>
        <w:tc>
          <w:tcPr>
            <w:tcW w:type="dxa" w:w="31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Einladung ansehen</w:t>
            </w:r>
          </w:p>
        </w:tc>
        <w:tc>
          <w:tcPr>
            <w:tcW w:type="dxa" w:w="62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Zeigt Familie und Einlader, auch für Gäste.</w:t>
            </w:r>
          </w:p>
        </w:tc>
      </w:tr>
      <w:tr>
        <w:tc>
          <w:tcPr>
            <w:tcW w:type="dxa" w:w="310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Einladung annehmen</w:t>
            </w:r>
          </w:p>
        </w:tc>
        <w:tc>
          <w:tcPr>
            <w:tcW w:type="dxa" w:w="626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Nimmt den angemeldeten Nutzer in die Familie auf. Eine zweite Einladung stuft einen Owner nicht herab.</w:t>
            </w:r>
          </w:p>
        </w:tc>
      </w:tr>
    </w:tbl>
    <w:p>
      <w:pPr>
        <w:spacing w:after="220" w:before="100"/>
      </w:pPr>
      <w:r>
        <w:rPr>
          <w:b/>
          <w:bCs/>
          <w:color w:val="6A6B66"/>
          <w:sz w:val="19"/>
          <w:szCs w:val="19"/>
        </w:rPr>
        <w:t xml:space="preserve">Datenbanktabellen: </w:t>
      </w:r>
      <w:r>
        <w:rPr>
          <w:rFonts w:ascii="Consolas" w:cs="Consolas" w:eastAsia="Consolas" w:hAnsi="Consolas"/>
          <w:color w:val="6A6B66"/>
          <w:sz w:val="19"/>
          <w:szCs w:val="19"/>
        </w:rPr>
        <w:t xml:space="preserve">invitations · families · family_user · users · activity_log</w:t>
      </w:r>
    </w:p>
    <w:p>
      <w:pPr>
        <w:pStyle w:val="Heading2"/>
        <w:pBdr>
          <w:bottom w:val="single" w:color="457A00" w:sz="6" w:space="4"/>
        </w:pBdr>
        <w:spacing w:after="120" w:before="280"/>
      </w:pPr>
      <w:r>
        <w:rPr>
          <w:b/>
          <w:bCs/>
          <w:color w:val="1C1D1B"/>
          <w:sz w:val="25"/>
          <w:szCs w:val="25"/>
        </w:rPr>
        <w:t xml:space="preserve">Übersicht</w:t>
      </w:r>
    </w:p>
    <w:p>
      <w:pPr>
        <w:spacing w:after="140" w:before="40"/>
      </w:pPr>
      <w:r>
        <w:rPr>
          <w:rFonts w:ascii="Consolas" w:cs="Consolas" w:eastAsia="Consolas" w:hAnsi="Consolas"/>
          <w:color w:val="457A00"/>
          <w:sz w:val="19"/>
          <w:szCs w:val="19"/>
        </w:rPr>
        <w:t xml:space="preserve">/dashboard</w:t>
      </w:r>
    </w:p>
    <w:p>
      <w:pPr>
        <w:spacing w:after="100" w:before="100"/>
      </w:pPr>
      <w:r>
        <w:rPr>
          <w:color w:val="1C1D1B"/>
          <w:sz w:val="21"/>
          <w:szCs w:val="21"/>
        </w:rPr>
        <w:t xml:space="preserve">Einstieg nach der Anmeldung: in welcher Familie man gerade arbeitet, mit welcher Rolle, und die beiden häufigsten Wege weiter.</w:t>
      </w:r>
    </w:p>
    <w:tbl>
      <w:tblPr>
        <w:tblW w:type="dxa" w:w="9360"/>
        <w:tblBorders>
          <w:top w:val="single" w:color="DCD6CB" w:sz="4"/>
          <w:left w:val="single" w:color="DCD6CB" w:sz="4"/>
          <w:bottom w:val="single" w:color="DCD6CB" w:sz="4"/>
          <w:right w:val="single" w:color="DCD6CB" w:sz="4"/>
          <w:insideH w:val="single" w:color="DCD6CB" w:sz="4"/>
          <w:insideV w:val="single" w:color="DCD6CB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457A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DFBF7"/>
                <w:sz w:val="19"/>
                <w:szCs w:val="19"/>
              </w:rPr>
              <w:t xml:space="preserve">Benutzeraktion</w:t>
            </w:r>
          </w:p>
        </w:tc>
        <w:tc>
          <w:tcPr>
            <w:tcW w:type="dxa" w:w="6260"/>
            <w:shd w:fill="457A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DFBF7"/>
                <w:sz w:val="19"/>
                <w:szCs w:val="19"/>
              </w:rPr>
              <w:t xml:space="preserve">Wirkung</w:t>
            </w:r>
          </w:p>
        </w:tc>
      </w:tr>
      <w:tr>
        <w:tc>
          <w:tcPr>
            <w:tcW w:type="dxa" w:w="31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Familie wechseln</w:t>
            </w:r>
          </w:p>
        </w:tc>
        <w:tc>
          <w:tcPr>
            <w:tcW w:type="dxa" w:w="62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Nur sichtbar, wenn man mehreren Familien angehört.</w:t>
            </w:r>
          </w:p>
        </w:tc>
      </w:tr>
      <w:tr>
        <w:tc>
          <w:tcPr>
            <w:tcW w:type="dxa" w:w="310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Zur Einkaufsliste / Neue Woche</w:t>
            </w:r>
          </w:p>
        </w:tc>
        <w:tc>
          <w:tcPr>
            <w:tcW w:type="dxa" w:w="626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Direkteinstieg in den Alltag.</w:t>
            </w:r>
          </w:p>
        </w:tc>
      </w:tr>
    </w:tbl>
    <w:p>
      <w:pPr>
        <w:spacing w:after="220" w:before="100"/>
      </w:pPr>
      <w:r>
        <w:rPr>
          <w:b/>
          <w:bCs/>
          <w:color w:val="6A6B66"/>
          <w:sz w:val="19"/>
          <w:szCs w:val="19"/>
        </w:rPr>
        <w:t xml:space="preserve">Datenbanktabellen: </w:t>
      </w:r>
      <w:r>
        <w:rPr>
          <w:rFonts w:ascii="Consolas" w:cs="Consolas" w:eastAsia="Consolas" w:hAnsi="Consolas"/>
          <w:color w:val="6A6B66"/>
          <w:sz w:val="19"/>
          <w:szCs w:val="19"/>
        </w:rPr>
        <w:t xml:space="preserve">families · family_user · users</w:t>
      </w:r>
    </w:p>
    <w:p>
      <w:pPr>
        <w:pStyle w:val="Heading2"/>
        <w:pBdr>
          <w:bottom w:val="single" w:color="457A00" w:sz="6" w:space="4"/>
        </w:pBdr>
        <w:spacing w:after="120" w:before="280"/>
      </w:pPr>
      <w:r>
        <w:rPr>
          <w:b/>
          <w:bCs/>
          <w:color w:val="1C1D1B"/>
          <w:sz w:val="25"/>
          <w:szCs w:val="25"/>
        </w:rPr>
        <w:t xml:space="preserve">Einkaufsliste</w:t>
      </w:r>
    </w:p>
    <w:p>
      <w:pPr>
        <w:spacing w:after="140" w:before="40"/>
      </w:pPr>
      <w:r>
        <w:rPr>
          <w:rFonts w:ascii="Consolas" w:cs="Consolas" w:eastAsia="Consolas" w:hAnsi="Consolas"/>
          <w:color w:val="457A00"/>
          <w:sz w:val="19"/>
          <w:szCs w:val="19"/>
        </w:rPr>
        <w:t xml:space="preserve">/einkaufsliste</w:t>
      </w:r>
    </w:p>
    <w:p>
      <w:pPr>
        <w:spacing w:after="100" w:before="100"/>
      </w:pPr>
      <w:r>
        <w:rPr>
          <w:color w:val="1C1D1B"/>
          <w:sz w:val="21"/>
          <w:szCs w:val="21"/>
        </w:rPr>
        <w:t xml:space="preserve">Die Hauptseite. Sie zeigt die eine aktive Liste der Familie, gegliedert nach den Regalbereichen des gewählten Marktes; Erledigtes sinkt innerhalb seines Abschnitts nach unten. Artikel, die es im gewählten Markt nicht gibt, sammeln sich am Ende unter „Gibt es hier nicht".</w:t>
      </w:r>
    </w:p>
    <w:tbl>
      <w:tblPr>
        <w:tblW w:type="dxa" w:w="9360"/>
        <w:tblBorders>
          <w:top w:val="single" w:color="DCD6CB" w:sz="4"/>
          <w:left w:val="single" w:color="DCD6CB" w:sz="4"/>
          <w:bottom w:val="single" w:color="DCD6CB" w:sz="4"/>
          <w:right w:val="single" w:color="DCD6CB" w:sz="4"/>
          <w:insideH w:val="single" w:color="DCD6CB" w:sz="4"/>
          <w:insideV w:val="single" w:color="DCD6CB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457A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DFBF7"/>
                <w:sz w:val="19"/>
                <w:szCs w:val="19"/>
              </w:rPr>
              <w:t xml:space="preserve">Benutzeraktion</w:t>
            </w:r>
          </w:p>
        </w:tc>
        <w:tc>
          <w:tcPr>
            <w:tcW w:type="dxa" w:w="6260"/>
            <w:shd w:fill="457A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DFBF7"/>
                <w:sz w:val="19"/>
                <w:szCs w:val="19"/>
              </w:rPr>
              <w:t xml:space="preserve">Wirkung</w:t>
            </w:r>
          </w:p>
        </w:tc>
      </w:tr>
      <w:tr>
        <w:tc>
          <w:tcPr>
            <w:tcW w:type="dxa" w:w="31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Artikel aufschreiben</w:t>
            </w:r>
          </w:p>
        </w:tc>
        <w:tc>
          <w:tcPr>
            <w:tcW w:type="dxa" w:w="62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Eine Zeile Freitext: „2 l Milch", „500g Mehl", „1-2 Zwiebeln, rote". Menge, Einheit und Notiz werden erkannt; der Artikelkatalog schlägt beim Tippen vor.</w:t>
            </w:r>
          </w:p>
        </w:tc>
      </w:tr>
      <w:tr>
        <w:tc>
          <w:tcPr>
            <w:tcW w:type="dxa" w:w="310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Zusammenführen statt doppeln</w:t>
            </w:r>
          </w:p>
        </w:tc>
        <w:tc>
          <w:tcPr>
            <w:tcW w:type="dxa" w:w="626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Steht der Artikel schon offen auf der Liste, werden die Mengen addiert — bei gleicher Einheit. Sonst wandert die Angabe in die Notiz.</w:t>
            </w:r>
          </w:p>
        </w:tc>
      </w:tr>
      <w:tr>
        <w:tc>
          <w:tcPr>
            <w:tcW w:type="dxa" w:w="31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Abhaken / Haken entfernen</w:t>
            </w:r>
          </w:p>
        </w:tc>
        <w:tc>
          <w:tcPr>
            <w:tcW w:type="dxa" w:w="62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Hält fest, wer abgehakt hat und wann.</w:t>
            </w:r>
          </w:p>
        </w:tc>
      </w:tr>
      <w:tr>
        <w:tc>
          <w:tcPr>
            <w:tcW w:type="dxa" w:w="310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Eintrag bearbeiten</w:t>
            </w:r>
          </w:p>
        </w:tc>
        <w:tc>
          <w:tcPr>
            <w:tcW w:type="dxa" w:w="626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Menge, Name und Notiz in einem Feld; Warengruppe im Auswahlfeld.</w:t>
            </w:r>
          </w:p>
        </w:tc>
      </w:tr>
      <w:tr>
        <w:tc>
          <w:tcPr>
            <w:tcW w:type="dxa" w:w="31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Eintrag löschen</w:t>
            </w:r>
          </w:p>
        </w:tc>
        <w:tc>
          <w:tcPr>
            <w:tcW w:type="dxa" w:w="62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Weiches Löschen — andere Geräte bekommen es beim Abgleich mit.</w:t>
            </w:r>
          </w:p>
        </w:tc>
      </w:tr>
      <w:tr>
        <w:tc>
          <w:tcPr>
            <w:tcW w:type="dxa" w:w="310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Markt umschalten</w:t>
            </w:r>
          </w:p>
        </w:tc>
        <w:tc>
          <w:tcPr>
            <w:tcW w:type="dxa" w:w="626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Ändert die Sortierung, nicht die Einträge.</w:t>
            </w:r>
          </w:p>
        </w:tc>
      </w:tr>
      <w:tr>
        <w:tc>
          <w:tcPr>
            <w:tcW w:type="dxa" w:w="31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Vorlage übernehmen</w:t>
            </w:r>
          </w:p>
        </w:tc>
        <w:tc>
          <w:tcPr>
            <w:tcW w:type="dxa" w:w="62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Setzt eine gespeicherte Vorlage auf die Liste, zusammengeführt mit dem Vorhandenen.</w:t>
            </w:r>
          </w:p>
        </w:tc>
      </w:tr>
      <w:tr>
        <w:tc>
          <w:tcPr>
            <w:tcW w:type="dxa" w:w="310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Einkauf abschließen</w:t>
            </w:r>
          </w:p>
        </w:tc>
        <w:tc>
          <w:tcPr>
            <w:tcW w:type="dxa" w:w="626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Liste ins Archiv; die nicht abgehakten Artikel wandern auf die neue Liste.</w:t>
            </w:r>
          </w:p>
        </w:tc>
      </w:tr>
    </w:tbl>
    <w:p>
      <w:pPr>
        <w:spacing w:after="220" w:before="100"/>
      </w:pPr>
      <w:r>
        <w:rPr>
          <w:b/>
          <w:bCs/>
          <w:color w:val="6A6B66"/>
          <w:sz w:val="19"/>
          <w:szCs w:val="19"/>
        </w:rPr>
        <w:t xml:space="preserve">Datenbanktabellen: </w:t>
      </w:r>
      <w:r>
        <w:rPr>
          <w:rFonts w:ascii="Consolas" w:cs="Consolas" w:eastAsia="Consolas" w:hAnsi="Consolas"/>
          <w:color w:val="6A6B66"/>
          <w:sz w:val="19"/>
          <w:szCs w:val="19"/>
        </w:rPr>
        <w:t xml:space="preserve">shopping_lists · shopping_list_items · products · product_groups · markets · market_sections · market_section_groups · market_product · list_templates · users</w:t>
      </w:r>
    </w:p>
    <w:p>
      <w:pPr>
        <w:pStyle w:val="Heading2"/>
        <w:pBdr>
          <w:bottom w:val="single" w:color="457A00" w:sz="6" w:space="4"/>
        </w:pBdr>
        <w:spacing w:after="120" w:before="280"/>
      </w:pPr>
      <w:r>
        <w:rPr>
          <w:b/>
          <w:bCs/>
          <w:color w:val="1C1D1B"/>
          <w:sz w:val="25"/>
          <w:szCs w:val="25"/>
        </w:rPr>
        <w:t xml:space="preserve">Liste drucken oder teilen</w:t>
      </w:r>
    </w:p>
    <w:p>
      <w:pPr>
        <w:spacing w:after="140" w:before="40"/>
      </w:pPr>
      <w:r>
        <w:rPr>
          <w:rFonts w:ascii="Consolas" w:cs="Consolas" w:eastAsia="Consolas" w:hAnsi="Consolas"/>
          <w:color w:val="457A00"/>
          <w:sz w:val="19"/>
          <w:szCs w:val="19"/>
        </w:rPr>
        <w:t xml:space="preserve">/einkaufsliste/drucken</w:t>
      </w:r>
    </w:p>
    <w:p>
      <w:pPr>
        <w:spacing w:after="100" w:before="100"/>
      </w:pPr>
      <w:r>
        <w:rPr>
          <w:color w:val="1C1D1B"/>
          <w:sz w:val="21"/>
          <w:szCs w:val="21"/>
        </w:rPr>
        <w:t xml:space="preserve">Dieselbe Liste ohne Bedienelemente — zum Ausdrucken oder als Klartext zum Kopieren in eine Nachricht.</w:t>
      </w:r>
    </w:p>
    <w:tbl>
      <w:tblPr>
        <w:tblW w:type="dxa" w:w="9360"/>
        <w:tblBorders>
          <w:top w:val="single" w:color="DCD6CB" w:sz="4"/>
          <w:left w:val="single" w:color="DCD6CB" w:sz="4"/>
          <w:bottom w:val="single" w:color="DCD6CB" w:sz="4"/>
          <w:right w:val="single" w:color="DCD6CB" w:sz="4"/>
          <w:insideH w:val="single" w:color="DCD6CB" w:sz="4"/>
          <w:insideV w:val="single" w:color="DCD6CB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457A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DFBF7"/>
                <w:sz w:val="19"/>
                <w:szCs w:val="19"/>
              </w:rPr>
              <w:t xml:space="preserve">Benutzeraktion</w:t>
            </w:r>
          </w:p>
        </w:tc>
        <w:tc>
          <w:tcPr>
            <w:tcW w:type="dxa" w:w="6260"/>
            <w:shd w:fill="457A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DFBF7"/>
                <w:sz w:val="19"/>
                <w:szCs w:val="19"/>
              </w:rPr>
              <w:t xml:space="preserve">Wirkung</w:t>
            </w:r>
          </w:p>
        </w:tc>
      </w:tr>
      <w:tr>
        <w:tc>
          <w:tcPr>
            <w:tcW w:type="dxa" w:w="31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Drucken</w:t>
            </w:r>
          </w:p>
        </w:tc>
        <w:tc>
          <w:tcPr>
            <w:tcW w:type="dxa" w:w="62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Im Druck verschwinden Navigation und Formulare.</w:t>
            </w:r>
          </w:p>
        </w:tc>
      </w:tr>
      <w:tr>
        <w:tc>
          <w:tcPr>
            <w:tcW w:type="dxa" w:w="310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Als Text kopieren</w:t>
            </w:r>
          </w:p>
        </w:tc>
        <w:tc>
          <w:tcPr>
            <w:tcW w:type="dxa" w:w="626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Fertig formatierter Text mit Abschnitten und Kästchen.</w:t>
            </w:r>
          </w:p>
        </w:tc>
      </w:tr>
    </w:tbl>
    <w:p>
      <w:pPr>
        <w:spacing w:after="220" w:before="100"/>
      </w:pPr>
      <w:r>
        <w:rPr>
          <w:b/>
          <w:bCs/>
          <w:color w:val="6A6B66"/>
          <w:sz w:val="19"/>
          <w:szCs w:val="19"/>
        </w:rPr>
        <w:t xml:space="preserve">Datenbanktabellen: </w:t>
      </w:r>
      <w:r>
        <w:rPr>
          <w:rFonts w:ascii="Consolas" w:cs="Consolas" w:eastAsia="Consolas" w:hAnsi="Consolas"/>
          <w:color w:val="6A6B66"/>
          <w:sz w:val="19"/>
          <w:szCs w:val="19"/>
        </w:rPr>
        <w:t xml:space="preserve">shopping_lists · shopping_list_items · products · product_groups · markets · market_sections</w:t>
      </w:r>
    </w:p>
    <w:p>
      <w:pPr>
        <w:pStyle w:val="Heading2"/>
        <w:pBdr>
          <w:bottom w:val="single" w:color="457A00" w:sz="6" w:space="4"/>
        </w:pBdr>
        <w:spacing w:after="120" w:before="280"/>
      </w:pPr>
      <w:r>
        <w:rPr>
          <w:b/>
          <w:bCs/>
          <w:color w:val="1C1D1B"/>
          <w:sz w:val="25"/>
          <w:szCs w:val="25"/>
        </w:rPr>
        <w:t xml:space="preserve">Bestand des Grundvorrats</w:t>
      </w:r>
    </w:p>
    <w:p>
      <w:pPr>
        <w:spacing w:after="140" w:before="40"/>
      </w:pPr>
      <w:r>
        <w:rPr>
          <w:rFonts w:ascii="Consolas" w:cs="Consolas" w:eastAsia="Consolas" w:hAnsi="Consolas"/>
          <w:color w:val="457A00"/>
          <w:sz w:val="19"/>
          <w:szCs w:val="19"/>
        </w:rPr>
        <w:t xml:space="preserve">/einkaufsliste/inventur</w:t>
      </w:r>
    </w:p>
    <w:p>
      <w:pPr>
        <w:spacing w:after="100" w:before="100"/>
      </w:pPr>
      <w:r>
        <w:rPr>
          <w:color w:val="1C1D1B"/>
          <w:sz w:val="21"/>
          <w:szCs w:val="21"/>
        </w:rPr>
        <w:t xml:space="preserve">Erfassungsbogen für den Vorratsschrank: je Grundvorratsartikel die Sollmenge und ein Feld für den Bestand. Was zur Sollmenge fehlt, geht gesammelt auf die Einkaufsliste. Die Seite lässt sich auch ausdrucken — dann wird die Bestandsspalte zur Schreiblinie.</w:t>
      </w:r>
    </w:p>
    <w:tbl>
      <w:tblPr>
        <w:tblW w:type="dxa" w:w="9360"/>
        <w:tblBorders>
          <w:top w:val="single" w:color="DCD6CB" w:sz="4"/>
          <w:left w:val="single" w:color="DCD6CB" w:sz="4"/>
          <w:bottom w:val="single" w:color="DCD6CB" w:sz="4"/>
          <w:right w:val="single" w:color="DCD6CB" w:sz="4"/>
          <w:insideH w:val="single" w:color="DCD6CB" w:sz="4"/>
          <w:insideV w:val="single" w:color="DCD6CB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457A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DFBF7"/>
                <w:sz w:val="19"/>
                <w:szCs w:val="19"/>
              </w:rPr>
              <w:t xml:space="preserve">Benutzeraktion</w:t>
            </w:r>
          </w:p>
        </w:tc>
        <w:tc>
          <w:tcPr>
            <w:tcW w:type="dxa" w:w="6260"/>
            <w:shd w:fill="457A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DFBF7"/>
                <w:sz w:val="19"/>
                <w:szCs w:val="19"/>
              </w:rPr>
              <w:t xml:space="preserve">Wirkung</w:t>
            </w:r>
          </w:p>
        </w:tc>
      </w:tr>
      <w:tr>
        <w:tc>
          <w:tcPr>
            <w:tcW w:type="dxa" w:w="31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Bestand eintragen</w:t>
            </w:r>
          </w:p>
        </w:tc>
        <w:tc>
          <w:tcPr>
            <w:tcW w:type="dxa" w:w="62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Ein leeres Feld heißt „nicht gezählt", eine 0 heißt „nichts mehr da". Nur so lässt sich die Zählung unterbrechen.</w:t>
            </w:r>
          </w:p>
        </w:tc>
      </w:tr>
      <w:tr>
        <w:tc>
          <w:tcPr>
            <w:tcW w:type="dxa" w:w="310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„fehlt" ankreuzen</w:t>
            </w:r>
          </w:p>
        </w:tc>
        <w:tc>
          <w:tcPr>
            <w:tcW w:type="dxa" w:w="626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Für Artikel ohne Sollmenge, bei denen sich nichts rechnen lässt.</w:t>
            </w:r>
          </w:p>
        </w:tc>
      </w:tr>
      <w:tr>
        <w:tc>
          <w:tcPr>
            <w:tcW w:type="dxa" w:w="31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Fehlmengen übernehmen</w:t>
            </w:r>
          </w:p>
        </w:tc>
        <w:tc>
          <w:tcPr>
            <w:tcW w:type="dxa" w:w="62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Schreibt die Differenzen auf die aktuelle Liste, zusammengeführt mit dem Vorhandenen.</w:t>
            </w:r>
          </w:p>
        </w:tc>
      </w:tr>
    </w:tbl>
    <w:p>
      <w:pPr>
        <w:spacing w:after="220" w:before="100"/>
      </w:pPr>
      <w:r>
        <w:rPr>
          <w:b/>
          <w:bCs/>
          <w:color w:val="6A6B66"/>
          <w:sz w:val="19"/>
          <w:szCs w:val="19"/>
        </w:rPr>
        <w:t xml:space="preserve">Datenbanktabellen: </w:t>
      </w:r>
      <w:r>
        <w:rPr>
          <w:rFonts w:ascii="Consolas" w:cs="Consolas" w:eastAsia="Consolas" w:hAnsi="Consolas"/>
          <w:color w:val="6A6B66"/>
          <w:sz w:val="19"/>
          <w:szCs w:val="19"/>
        </w:rPr>
        <w:t xml:space="preserve">products · shopping_lists · shopping_list_items · product_groups</w:t>
      </w:r>
    </w:p>
    <w:p>
      <w:pPr>
        <w:pStyle w:val="Heading2"/>
        <w:pBdr>
          <w:bottom w:val="single" w:color="457A00" w:sz="6" w:space="4"/>
        </w:pBdr>
        <w:spacing w:after="120" w:before="280"/>
      </w:pPr>
      <w:r>
        <w:rPr>
          <w:b/>
          <w:bCs/>
          <w:color w:val="1C1D1B"/>
          <w:sz w:val="25"/>
          <w:szCs w:val="25"/>
        </w:rPr>
        <w:t xml:space="preserve">Assistent „Neue Woche"</w:t>
      </w:r>
    </w:p>
    <w:p>
      <w:pPr>
        <w:spacing w:after="140" w:before="40"/>
      </w:pPr>
      <w:r>
        <w:rPr>
          <w:rFonts w:ascii="Consolas" w:cs="Consolas" w:eastAsia="Consolas" w:hAnsi="Consolas"/>
          <w:color w:val="457A00"/>
          <w:sz w:val="19"/>
          <w:szCs w:val="19"/>
        </w:rPr>
        <w:t xml:space="preserve">/einkaufsliste/neue-woche</w:t>
      </w:r>
    </w:p>
    <w:p>
      <w:pPr>
        <w:spacing w:after="100" w:before="100"/>
      </w:pPr>
      <w:r>
        <w:rPr>
          <w:color w:val="1C1D1B"/>
          <w:sz w:val="21"/>
          <w:szCs w:val="21"/>
        </w:rPr>
        <w:t xml:space="preserve">Zeigt, was er tun wird, bevor er es tut: den laufenden Einkauf abschließen, die fehlenden Artikel übernehmen, den Grundvorrat und die gewählten Vorlagen auf die neue Liste setzen.</w:t>
      </w:r>
    </w:p>
    <w:tbl>
      <w:tblPr>
        <w:tblW w:type="dxa" w:w="9360"/>
        <w:tblBorders>
          <w:top w:val="single" w:color="DCD6CB" w:sz="4"/>
          <w:left w:val="single" w:color="DCD6CB" w:sz="4"/>
          <w:bottom w:val="single" w:color="DCD6CB" w:sz="4"/>
          <w:right w:val="single" w:color="DCD6CB" w:sz="4"/>
          <w:insideH w:val="single" w:color="DCD6CB" w:sz="4"/>
          <w:insideV w:val="single" w:color="DCD6CB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457A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DFBF7"/>
                <w:sz w:val="19"/>
                <w:szCs w:val="19"/>
              </w:rPr>
              <w:t xml:space="preserve">Benutzeraktion</w:t>
            </w:r>
          </w:p>
        </w:tc>
        <w:tc>
          <w:tcPr>
            <w:tcW w:type="dxa" w:w="6260"/>
            <w:shd w:fill="457A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DFBF7"/>
                <w:sz w:val="19"/>
                <w:szCs w:val="19"/>
              </w:rPr>
              <w:t xml:space="preserve">Wirkung</w:t>
            </w:r>
          </w:p>
        </w:tc>
      </w:tr>
      <w:tr>
        <w:tc>
          <w:tcPr>
            <w:tcW w:type="dxa" w:w="31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Laufenden Einkauf archivieren</w:t>
            </w:r>
          </w:p>
        </w:tc>
        <w:tc>
          <w:tcPr>
            <w:tcW w:type="dxa" w:w="62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Abschaltbar. Eine leere Liste wird nie archiviert.</w:t>
            </w:r>
          </w:p>
        </w:tc>
      </w:tr>
      <w:tr>
        <w:tc>
          <w:tcPr>
            <w:tcW w:type="dxa" w:w="310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Fehlende Artikel übernehmen</w:t>
            </w:r>
          </w:p>
        </w:tc>
        <w:tc>
          <w:tcPr>
            <w:tcW w:type="dxa" w:w="626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Was nicht abgehakt war, kommt mit.</w:t>
            </w:r>
          </w:p>
        </w:tc>
      </w:tr>
      <w:tr>
        <w:tc>
          <w:tcPr>
            <w:tcW w:type="dxa" w:w="31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Grundvorrat auswählen</w:t>
            </w:r>
          </w:p>
        </w:tc>
        <w:tc>
          <w:tcPr>
            <w:tcW w:type="dxa" w:w="62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Alle Artikel mit Kennzeichen, jeweils mit ihrer Sollmenge.</w:t>
            </w:r>
          </w:p>
        </w:tc>
      </w:tr>
      <w:tr>
        <w:tc>
          <w:tcPr>
            <w:tcW w:type="dxa" w:w="310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Vorlagen auswählen</w:t>
            </w:r>
          </w:p>
        </w:tc>
        <w:tc>
          <w:tcPr>
            <w:tcW w:type="dxa" w:w="626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Die Standardvorlage ist vorausgewählt.</w:t>
            </w:r>
          </w:p>
        </w:tc>
      </w:tr>
      <w:tr>
        <w:tc>
          <w:tcPr>
            <w:tcW w:type="dxa" w:w="31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Liste benennen</w:t>
            </w:r>
          </w:p>
        </w:tc>
        <w:tc>
          <w:tcPr>
            <w:tcW w:type="dxa" w:w="62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Optionaler Name, sonst „Einkauf vom …".</w:t>
            </w:r>
          </w:p>
        </w:tc>
      </w:tr>
    </w:tbl>
    <w:p>
      <w:pPr>
        <w:spacing w:after="220" w:before="100"/>
      </w:pPr>
      <w:r>
        <w:rPr>
          <w:b/>
          <w:bCs/>
          <w:color w:val="6A6B66"/>
          <w:sz w:val="19"/>
          <w:szCs w:val="19"/>
        </w:rPr>
        <w:t xml:space="preserve">Datenbanktabellen: </w:t>
      </w:r>
      <w:r>
        <w:rPr>
          <w:rFonts w:ascii="Consolas" w:cs="Consolas" w:eastAsia="Consolas" w:hAnsi="Consolas"/>
          <w:color w:val="6A6B66"/>
          <w:sz w:val="19"/>
          <w:szCs w:val="19"/>
        </w:rPr>
        <w:t xml:space="preserve">shopping_lists · shopping_list_items · products · list_templates · list_template_items</w:t>
      </w:r>
    </w:p>
    <w:p>
      <w:pPr>
        <w:pStyle w:val="Heading2"/>
        <w:pBdr>
          <w:bottom w:val="single" w:color="457A00" w:sz="6" w:space="4"/>
        </w:pBdr>
        <w:spacing w:after="120" w:before="280"/>
      </w:pPr>
      <w:r>
        <w:rPr>
          <w:b/>
          <w:bCs/>
          <w:color w:val="1C1D1B"/>
          <w:sz w:val="25"/>
          <w:szCs w:val="25"/>
        </w:rPr>
        <w:t xml:space="preserve">Archiv</w:t>
      </w:r>
    </w:p>
    <w:p>
      <w:pPr>
        <w:spacing w:after="140" w:before="40"/>
      </w:pPr>
      <w:r>
        <w:rPr>
          <w:rFonts w:ascii="Consolas" w:cs="Consolas" w:eastAsia="Consolas" w:hAnsi="Consolas"/>
          <w:color w:val="457A00"/>
          <w:sz w:val="19"/>
          <w:szCs w:val="19"/>
        </w:rPr>
        <w:t xml:space="preserve">/einkaufsliste/archiv · /einkaufsliste/archiv/{liste}</w:t>
      </w:r>
    </w:p>
    <w:p>
      <w:pPr>
        <w:spacing w:after="100" w:before="100"/>
      </w:pPr>
      <w:r>
        <w:rPr>
          <w:color w:val="1C1D1B"/>
          <w:sz w:val="21"/>
          <w:szCs w:val="21"/>
        </w:rPr>
        <w:t xml:space="preserve">Alle abgeschlossenen Einkäufe. Die Spalte „offen" zeigt, was beim Abschluss gefehlt hat — diese Artikel stehen auf der Liste, die danach begonnen hat.</w:t>
      </w:r>
    </w:p>
    <w:tbl>
      <w:tblPr>
        <w:tblW w:type="dxa" w:w="9360"/>
        <w:tblBorders>
          <w:top w:val="single" w:color="DCD6CB" w:sz="4"/>
          <w:left w:val="single" w:color="DCD6CB" w:sz="4"/>
          <w:bottom w:val="single" w:color="DCD6CB" w:sz="4"/>
          <w:right w:val="single" w:color="DCD6CB" w:sz="4"/>
          <w:insideH w:val="single" w:color="DCD6CB" w:sz="4"/>
          <w:insideV w:val="single" w:color="DCD6CB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457A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DFBF7"/>
                <w:sz w:val="19"/>
                <w:szCs w:val="19"/>
              </w:rPr>
              <w:t xml:space="preserve">Benutzeraktion</w:t>
            </w:r>
          </w:p>
        </w:tc>
        <w:tc>
          <w:tcPr>
            <w:tcW w:type="dxa" w:w="6260"/>
            <w:shd w:fill="457A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DFBF7"/>
                <w:sz w:val="19"/>
                <w:szCs w:val="19"/>
              </w:rPr>
              <w:t xml:space="preserve">Wirkung</w:t>
            </w:r>
          </w:p>
        </w:tc>
      </w:tr>
      <w:tr>
        <w:tc>
          <w:tcPr>
            <w:tcW w:type="dxa" w:w="31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Archiv durchblättern</w:t>
            </w:r>
          </w:p>
        </w:tc>
        <w:tc>
          <w:tcPr>
            <w:tcW w:type="dxa" w:w="62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Datum, Markt, Anzahl der Artikel und der offen gebliebenen.</w:t>
            </w:r>
          </w:p>
        </w:tc>
      </w:tr>
      <w:tr>
        <w:tc>
          <w:tcPr>
            <w:tcW w:type="dxa" w:w="310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Eintrag ansehen</w:t>
            </w:r>
          </w:p>
        </w:tc>
        <w:tc>
          <w:tcPr>
            <w:tcW w:type="dxa" w:w="626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Der Einkauf in seiner Gliederung; Nichtgekauftes ist als „hat gefehlt" markiert.</w:t>
            </w:r>
          </w:p>
        </w:tc>
      </w:tr>
      <w:tr>
        <w:tc>
          <w:tcPr>
            <w:tcW w:type="dxa" w:w="31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In die aktuelle Liste laden</w:t>
            </w:r>
          </w:p>
        </w:tc>
        <w:tc>
          <w:tcPr>
            <w:tcW w:type="dxa" w:w="62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Ergänzt die laufende Liste, ersetzt sie nicht.</w:t>
            </w:r>
          </w:p>
        </w:tc>
      </w:tr>
      <w:tr>
        <w:tc>
          <w:tcPr>
            <w:tcW w:type="dxa" w:w="310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Eintrag löschen</w:t>
            </w:r>
          </w:p>
        </w:tc>
        <w:tc>
          <w:tcPr>
            <w:tcW w:type="dxa" w:w="626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Nur Owner und Admin. Unwiderruflich, mitsamt seinen Einträgen.</w:t>
            </w:r>
          </w:p>
        </w:tc>
      </w:tr>
    </w:tbl>
    <w:p>
      <w:pPr>
        <w:spacing w:after="220" w:before="100"/>
      </w:pPr>
      <w:r>
        <w:rPr>
          <w:b/>
          <w:bCs/>
          <w:color w:val="6A6B66"/>
          <w:sz w:val="19"/>
          <w:szCs w:val="19"/>
        </w:rPr>
        <w:t xml:space="preserve">Datenbanktabellen: </w:t>
      </w:r>
      <w:r>
        <w:rPr>
          <w:rFonts w:ascii="Consolas" w:cs="Consolas" w:eastAsia="Consolas" w:hAnsi="Consolas"/>
          <w:color w:val="6A6B66"/>
          <w:sz w:val="19"/>
          <w:szCs w:val="19"/>
        </w:rPr>
        <w:t xml:space="preserve">shopping_lists · shopping_list_items · markets · products · product_groups</w:t>
      </w:r>
    </w:p>
    <w:p>
      <w:pPr>
        <w:pStyle w:val="Heading2"/>
        <w:pBdr>
          <w:bottom w:val="single" w:color="457A00" w:sz="6" w:space="4"/>
        </w:pBdr>
        <w:spacing w:after="120" w:before="280"/>
      </w:pPr>
      <w:r>
        <w:rPr>
          <w:b/>
          <w:bCs/>
          <w:color w:val="1C1D1B"/>
          <w:sz w:val="25"/>
          <w:szCs w:val="25"/>
        </w:rPr>
        <w:t xml:space="preserve">Rezepte</w:t>
      </w:r>
    </w:p>
    <w:p>
      <w:pPr>
        <w:spacing w:after="140" w:before="40"/>
      </w:pPr>
      <w:r>
        <w:rPr>
          <w:rFonts w:ascii="Consolas" w:cs="Consolas" w:eastAsia="Consolas" w:hAnsi="Consolas"/>
          <w:color w:val="457A00"/>
          <w:sz w:val="19"/>
          <w:szCs w:val="19"/>
        </w:rPr>
        <w:t xml:space="preserve">/rezepte</w:t>
      </w:r>
    </w:p>
    <w:p>
      <w:pPr>
        <w:spacing w:after="100" w:before="100"/>
      </w:pPr>
      <w:r>
        <w:rPr>
          <w:color w:val="1C1D1B"/>
          <w:sz w:val="21"/>
          <w:szCs w:val="21"/>
        </w:rPr>
        <w:t xml:space="preserve">Übersicht mit Suche und Filtern. Die Suche geht über Namen, Anmerkungen und Zutaten — man sucht ein Rezept öfter über das, was weg muss, als über seinen Namen. Mehrere Schlagworte wirken als UND.</w:t>
      </w:r>
    </w:p>
    <w:tbl>
      <w:tblPr>
        <w:tblW w:type="dxa" w:w="9360"/>
        <w:tblBorders>
          <w:top w:val="single" w:color="DCD6CB" w:sz="4"/>
          <w:left w:val="single" w:color="DCD6CB" w:sz="4"/>
          <w:bottom w:val="single" w:color="DCD6CB" w:sz="4"/>
          <w:right w:val="single" w:color="DCD6CB" w:sz="4"/>
          <w:insideH w:val="single" w:color="DCD6CB" w:sz="4"/>
          <w:insideV w:val="single" w:color="DCD6CB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457A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DFBF7"/>
                <w:sz w:val="19"/>
                <w:szCs w:val="19"/>
              </w:rPr>
              <w:t xml:space="preserve">Benutzeraktion</w:t>
            </w:r>
          </w:p>
        </w:tc>
        <w:tc>
          <w:tcPr>
            <w:tcW w:type="dxa" w:w="6260"/>
            <w:shd w:fill="457A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DFBF7"/>
                <w:sz w:val="19"/>
                <w:szCs w:val="19"/>
              </w:rPr>
              <w:t xml:space="preserve">Wirkung</w:t>
            </w:r>
          </w:p>
        </w:tc>
      </w:tr>
      <w:tr>
        <w:tc>
          <w:tcPr>
            <w:tcW w:type="dxa" w:w="31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Suchen und filtern</w:t>
            </w:r>
          </w:p>
        </w:tc>
        <w:tc>
          <w:tcPr>
            <w:tcW w:type="dxa" w:w="62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Freitext, Schlagworte nach Art gruppiert, nur Favoriten.</w:t>
            </w:r>
          </w:p>
        </w:tc>
      </w:tr>
      <w:tr>
        <w:tc>
          <w:tcPr>
            <w:tcW w:type="dxa" w:w="310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Favorit markieren</w:t>
            </w:r>
          </w:p>
        </w:tc>
        <w:tc>
          <w:tcPr>
            <w:tcW w:type="dxa" w:w="626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Ein Klick in der Liste.</w:t>
            </w:r>
          </w:p>
        </w:tc>
      </w:tr>
      <w:tr>
        <w:tc>
          <w:tcPr>
            <w:tcW w:type="dxa" w:w="31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Neues Rezept</w:t>
            </w:r>
          </w:p>
        </w:tc>
        <w:tc>
          <w:tcPr>
            <w:tcW w:type="dxa" w:w="62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Führt zum Formular.</w:t>
            </w:r>
          </w:p>
        </w:tc>
      </w:tr>
    </w:tbl>
    <w:p>
      <w:pPr>
        <w:spacing w:after="220" w:before="100"/>
      </w:pPr>
      <w:r>
        <w:rPr>
          <w:b/>
          <w:bCs/>
          <w:color w:val="6A6B66"/>
          <w:sz w:val="19"/>
          <w:szCs w:val="19"/>
        </w:rPr>
        <w:t xml:space="preserve">Datenbanktabellen: </w:t>
      </w:r>
      <w:r>
        <w:rPr>
          <w:rFonts w:ascii="Consolas" w:cs="Consolas" w:eastAsia="Consolas" w:hAnsi="Consolas"/>
          <w:color w:val="6A6B66"/>
          <w:sz w:val="19"/>
          <w:szCs w:val="19"/>
        </w:rPr>
        <w:t xml:space="preserve">recipes · recipe_ingredients · tags · recipe_tag</w:t>
      </w:r>
    </w:p>
    <w:p>
      <w:pPr>
        <w:pStyle w:val="Heading2"/>
        <w:pBdr>
          <w:bottom w:val="single" w:color="457A00" w:sz="6" w:space="4"/>
        </w:pBdr>
        <w:spacing w:after="120" w:before="280"/>
      </w:pPr>
      <w:r>
        <w:rPr>
          <w:b/>
          <w:bCs/>
          <w:color w:val="1C1D1B"/>
          <w:sz w:val="25"/>
          <w:szCs w:val="25"/>
        </w:rPr>
        <w:t xml:space="preserve">Rezept ansehen und pflegen</w:t>
      </w:r>
    </w:p>
    <w:p>
      <w:pPr>
        <w:spacing w:after="140" w:before="40"/>
      </w:pPr>
      <w:r>
        <w:rPr>
          <w:rFonts w:ascii="Consolas" w:cs="Consolas" w:eastAsia="Consolas" w:hAnsi="Consolas"/>
          <w:color w:val="457A00"/>
          <w:sz w:val="19"/>
          <w:szCs w:val="19"/>
        </w:rPr>
        <w:t xml:space="preserve">/rezepte/{rezept}</w:t>
      </w:r>
    </w:p>
    <w:p>
      <w:pPr>
        <w:spacing w:after="100" w:before="100"/>
      </w:pPr>
      <w:r>
        <w:rPr>
          <w:color w:val="1C1D1B"/>
          <w:sz w:val="21"/>
          <w:szCs w:val="21"/>
        </w:rPr>
        <w:t xml:space="preserve">Zutaten, Zubereitung, Nährwerte und Schlagworte — und die Maske, mit der das Rezept auf die Einkaufsliste kommt.</w:t>
      </w:r>
    </w:p>
    <w:tbl>
      <w:tblPr>
        <w:tblW w:type="dxa" w:w="9360"/>
        <w:tblBorders>
          <w:top w:val="single" w:color="DCD6CB" w:sz="4"/>
          <w:left w:val="single" w:color="DCD6CB" w:sz="4"/>
          <w:bottom w:val="single" w:color="DCD6CB" w:sz="4"/>
          <w:right w:val="single" w:color="DCD6CB" w:sz="4"/>
          <w:insideH w:val="single" w:color="DCD6CB" w:sz="4"/>
          <w:insideV w:val="single" w:color="DCD6CB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457A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DFBF7"/>
                <w:sz w:val="19"/>
                <w:szCs w:val="19"/>
              </w:rPr>
              <w:t xml:space="preserve">Benutzeraktion</w:t>
            </w:r>
          </w:p>
        </w:tc>
        <w:tc>
          <w:tcPr>
            <w:tcW w:type="dxa" w:w="6260"/>
            <w:shd w:fill="457A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DFBF7"/>
                <w:sz w:val="19"/>
                <w:szCs w:val="19"/>
              </w:rPr>
              <w:t xml:space="preserve">Wirkung</w:t>
            </w:r>
          </w:p>
        </w:tc>
      </w:tr>
      <w:tr>
        <w:tc>
          <w:tcPr>
            <w:tcW w:type="dxa" w:w="31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Portionen umrechnen</w:t>
            </w:r>
          </w:p>
        </w:tc>
        <w:tc>
          <w:tcPr>
            <w:tcW w:type="dxa" w:w="62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Alle Mengen werden skaliert; Zutaten ohne Menge bleiben unverändert.</w:t>
            </w:r>
          </w:p>
        </w:tc>
      </w:tr>
      <w:tr>
        <w:tc>
          <w:tcPr>
            <w:tcW w:type="dxa" w:w="310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Auf die Einkaufsliste</w:t>
            </w:r>
          </w:p>
        </w:tc>
        <w:tc>
          <w:tcPr>
            <w:tcW w:type="dxa" w:w="626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Vorratszutaten sind abgewählt. Gleiche Zutaten fallen über den Sammelbegriff zu einem Eintrag zusammen.</w:t>
            </w:r>
          </w:p>
        </w:tc>
      </w:tr>
      <w:tr>
        <w:tc>
          <w:tcPr>
            <w:tcW w:type="dxa" w:w="31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Zutat hinzufügen / ändern / entfernen</w:t>
            </w:r>
          </w:p>
        </w:tc>
        <w:tc>
          <w:tcPr>
            <w:tcW w:type="dxa" w:w="62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Freitext wie auf der Liste, dazu Einkaufsname, Sammelbegriff, „Vorrat" und „optional".</w:t>
            </w:r>
          </w:p>
        </w:tc>
      </w:tr>
      <w:tr>
        <w:tc>
          <w:tcPr>
            <w:tcW w:type="dxa" w:w="310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Schlagworte pflegen</w:t>
            </w:r>
          </w:p>
        </w:tc>
        <w:tc>
          <w:tcPr>
            <w:tcW w:type="dxa" w:w="626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Vorhandene ankreuzen oder ein neues anlegen.</w:t>
            </w:r>
          </w:p>
        </w:tc>
      </w:tr>
      <w:tr>
        <w:tc>
          <w:tcPr>
            <w:tcW w:type="dxa" w:w="31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Rezept bearbeiten / löschen</w:t>
            </w:r>
          </w:p>
        </w:tc>
        <w:tc>
          <w:tcPr>
            <w:tcW w:type="dxa" w:w="62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Name, Portionen, Aufwand, Zeiten, Zubereitung, Quelle.</w:t>
            </w:r>
          </w:p>
        </w:tc>
      </w:tr>
    </w:tbl>
    <w:p>
      <w:pPr>
        <w:spacing w:after="220" w:before="100"/>
      </w:pPr>
      <w:r>
        <w:rPr>
          <w:b/>
          <w:bCs/>
          <w:color w:val="6A6B66"/>
          <w:sz w:val="19"/>
          <w:szCs w:val="19"/>
        </w:rPr>
        <w:t xml:space="preserve">Datenbanktabellen: </w:t>
      </w:r>
      <w:r>
        <w:rPr>
          <w:rFonts w:ascii="Consolas" w:cs="Consolas" w:eastAsia="Consolas" w:hAnsi="Consolas"/>
          <w:color w:val="6A6B66"/>
          <w:sz w:val="19"/>
          <w:szCs w:val="19"/>
        </w:rPr>
        <w:t xml:space="preserve">recipes · recipe_ingredients · tags · recipe_tag · products · shopping_lists · shopping_list_items</w:t>
      </w:r>
    </w:p>
    <w:p>
      <w:pPr>
        <w:pStyle w:val="Heading2"/>
        <w:pBdr>
          <w:bottom w:val="single" w:color="457A00" w:sz="6" w:space="4"/>
        </w:pBdr>
        <w:spacing w:after="120" w:before="280"/>
      </w:pPr>
      <w:r>
        <w:rPr>
          <w:b/>
          <w:bCs/>
          <w:color w:val="1C1D1B"/>
          <w:sz w:val="25"/>
          <w:szCs w:val="25"/>
        </w:rPr>
        <w:t xml:space="preserve">Vorlagen</w:t>
      </w:r>
    </w:p>
    <w:p>
      <w:pPr>
        <w:spacing w:after="140" w:before="40"/>
      </w:pPr>
      <w:r>
        <w:rPr>
          <w:rFonts w:ascii="Consolas" w:cs="Consolas" w:eastAsia="Consolas" w:hAnsi="Consolas"/>
          <w:color w:val="457A00"/>
          <w:sz w:val="19"/>
          <w:szCs w:val="19"/>
        </w:rPr>
        <w:t xml:space="preserve">/vorlagen · /vorlagen/{vorlage}</w:t>
      </w:r>
    </w:p>
    <w:p>
      <w:pPr>
        <w:spacing w:after="100" w:before="100"/>
      </w:pPr>
      <w:r>
        <w:rPr>
          <w:color w:val="1C1D1B"/>
          <w:sz w:val="21"/>
          <w:szCs w:val="21"/>
        </w:rPr>
        <w:t xml:space="preserve">Benannte Sammlungen von Artikeln für einen Anlass — „Wochenbedarf", „Grillabend", „Urlaubsvorrat". Die Standardvorlage kommt auf jede neu angelegte Liste, also auch auf die nach einem Abschluss.</w:t>
      </w:r>
    </w:p>
    <w:tbl>
      <w:tblPr>
        <w:tblW w:type="dxa" w:w="9360"/>
        <w:tblBorders>
          <w:top w:val="single" w:color="DCD6CB" w:sz="4"/>
          <w:left w:val="single" w:color="DCD6CB" w:sz="4"/>
          <w:bottom w:val="single" w:color="DCD6CB" w:sz="4"/>
          <w:right w:val="single" w:color="DCD6CB" w:sz="4"/>
          <w:insideH w:val="single" w:color="DCD6CB" w:sz="4"/>
          <w:insideV w:val="single" w:color="DCD6CB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457A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DFBF7"/>
                <w:sz w:val="19"/>
                <w:szCs w:val="19"/>
              </w:rPr>
              <w:t xml:space="preserve">Benutzeraktion</w:t>
            </w:r>
          </w:p>
        </w:tc>
        <w:tc>
          <w:tcPr>
            <w:tcW w:type="dxa" w:w="6260"/>
            <w:shd w:fill="457A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DFBF7"/>
                <w:sz w:val="19"/>
                <w:szCs w:val="19"/>
              </w:rPr>
              <w:t xml:space="preserve">Wirkung</w:t>
            </w:r>
          </w:p>
        </w:tc>
      </w:tr>
      <w:tr>
        <w:tc>
          <w:tcPr>
            <w:tcW w:type="dxa" w:w="31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Vorlage anlegen / umbenennen / löschen</w:t>
            </w:r>
          </w:p>
        </w:tc>
        <w:tc>
          <w:tcPr>
            <w:tcW w:type="dxa" w:w="62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Name und Beschreibung; der Name ist je Familie eindeutig.</w:t>
            </w:r>
          </w:p>
        </w:tc>
      </w:tr>
      <w:tr>
        <w:tc>
          <w:tcPr>
            <w:tcW w:type="dxa" w:w="310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Positionen pflegen</w:t>
            </w:r>
          </w:p>
        </w:tc>
        <w:tc>
          <w:tcPr>
            <w:tcW w:type="dxa" w:w="626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Artikel per Freitext hinzufügen, ändern, entfernen.</w:t>
            </w:r>
          </w:p>
        </w:tc>
      </w:tr>
      <w:tr>
        <w:tc>
          <w:tcPr>
            <w:tcW w:type="dxa" w:w="31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Als Standard setzen</w:t>
            </w:r>
          </w:p>
        </w:tc>
        <w:tc>
          <w:tcPr>
            <w:tcW w:type="dxa" w:w="62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Höchstens eine je Familie; derselbe Knopf schaltet die Automatik wieder ab.</w:t>
            </w:r>
          </w:p>
        </w:tc>
      </w:tr>
      <w:tr>
        <w:tc>
          <w:tcPr>
            <w:tcW w:type="dxa" w:w="310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Auf die Liste setzen</w:t>
            </w:r>
          </w:p>
        </w:tc>
        <w:tc>
          <w:tcPr>
            <w:tcW w:type="dxa" w:w="626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Zusammengeführt mit dem, was schon dort steht.</w:t>
            </w:r>
          </w:p>
        </w:tc>
      </w:tr>
      <w:tr>
        <w:tc>
          <w:tcPr>
            <w:tcW w:type="dxa" w:w="31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Aus der aktuellen Liste sichern</w:t>
            </w:r>
          </w:p>
        </w:tc>
        <w:tc>
          <w:tcPr>
            <w:tcW w:type="dxa" w:w="62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Übernimmt alles, was auf der Liste steht — auch Abgehaktes.</w:t>
            </w:r>
          </w:p>
        </w:tc>
      </w:tr>
    </w:tbl>
    <w:p>
      <w:pPr>
        <w:spacing w:after="220" w:before="100"/>
      </w:pPr>
      <w:r>
        <w:rPr>
          <w:b/>
          <w:bCs/>
          <w:color w:val="6A6B66"/>
          <w:sz w:val="19"/>
          <w:szCs w:val="19"/>
        </w:rPr>
        <w:t xml:space="preserve">Datenbanktabellen: </w:t>
      </w:r>
      <w:r>
        <w:rPr>
          <w:rFonts w:ascii="Consolas" w:cs="Consolas" w:eastAsia="Consolas" w:hAnsi="Consolas"/>
          <w:color w:val="6A6B66"/>
          <w:sz w:val="19"/>
          <w:szCs w:val="19"/>
        </w:rPr>
        <w:t xml:space="preserve">list_templates · list_template_items · products · product_groups · shopping_lists · shopping_list_items</w:t>
      </w:r>
    </w:p>
    <w:p>
      <w:pPr>
        <w:pStyle w:val="Heading2"/>
        <w:pBdr>
          <w:bottom w:val="single" w:color="457A00" w:sz="6" w:space="4"/>
        </w:pBdr>
        <w:spacing w:after="120" w:before="280"/>
      </w:pPr>
      <w:r>
        <w:rPr>
          <w:b/>
          <w:bCs/>
          <w:color w:val="1C1D1B"/>
          <w:sz w:val="25"/>
          <w:szCs w:val="25"/>
        </w:rPr>
        <w:t xml:space="preserve">Artikel (Katalog)</w:t>
      </w:r>
    </w:p>
    <w:p>
      <w:pPr>
        <w:spacing w:after="140" w:before="40"/>
      </w:pPr>
      <w:r>
        <w:rPr>
          <w:rFonts w:ascii="Consolas" w:cs="Consolas" w:eastAsia="Consolas" w:hAnsi="Consolas"/>
          <w:color w:val="457A00"/>
          <w:sz w:val="19"/>
          <w:szCs w:val="19"/>
        </w:rPr>
        <w:t xml:space="preserve">/stammdaten/produkte</w:t>
      </w:r>
    </w:p>
    <w:p>
      <w:pPr>
        <w:spacing w:after="100" w:before="100"/>
      </w:pPr>
      <w:r>
        <w:rPr>
          <w:color w:val="1C1D1B"/>
          <w:sz w:val="21"/>
          <w:szCs w:val="21"/>
        </w:rPr>
        <w:t xml:space="preserve">Der Artikelkatalog ist die gemeinsame Klammer für Einkaufsliste, Rezeptzutat und Vorrat. Die Seite ist für die Pflege am Rechner gebaut: breite Tabelle mit echten Spalten, feststehendem Kopf, wechselnden Zeilen und 100 Artikeln je Seite.</w:t>
      </w:r>
    </w:p>
    <w:tbl>
      <w:tblPr>
        <w:tblW w:type="dxa" w:w="9360"/>
        <w:tblBorders>
          <w:top w:val="single" w:color="DCD6CB" w:sz="4"/>
          <w:left w:val="single" w:color="DCD6CB" w:sz="4"/>
          <w:bottom w:val="single" w:color="DCD6CB" w:sz="4"/>
          <w:right w:val="single" w:color="DCD6CB" w:sz="4"/>
          <w:insideH w:val="single" w:color="DCD6CB" w:sz="4"/>
          <w:insideV w:val="single" w:color="DCD6CB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457A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DFBF7"/>
                <w:sz w:val="19"/>
                <w:szCs w:val="19"/>
              </w:rPr>
              <w:t xml:space="preserve">Benutzeraktion</w:t>
            </w:r>
          </w:p>
        </w:tc>
        <w:tc>
          <w:tcPr>
            <w:tcW w:type="dxa" w:w="6260"/>
            <w:shd w:fill="457A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DFBF7"/>
                <w:sz w:val="19"/>
                <w:szCs w:val="19"/>
              </w:rPr>
              <w:t xml:space="preserve">Wirkung</w:t>
            </w:r>
          </w:p>
        </w:tc>
      </w:tr>
      <w:tr>
        <w:tc>
          <w:tcPr>
            <w:tcW w:type="dxa" w:w="31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Suchen, filtern, sortieren</w:t>
            </w:r>
          </w:p>
        </w:tc>
        <w:tc>
          <w:tcPr>
            <w:tcW w:type="dxa" w:w="62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Nach Name, Warengruppe, nur Grundvorrat, nur eingeschränkt erhältlich; sortierbar nach Name, Warengruppe (in Marktreihenfolge) oder Anlagedatum.</w:t>
            </w:r>
          </w:p>
        </w:tc>
      </w:tr>
      <w:tr>
        <w:tc>
          <w:tcPr>
            <w:tcW w:type="dxa" w:w="310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Artikel anlegen</w:t>
            </w:r>
          </w:p>
        </w:tc>
        <w:tc>
          <w:tcPr>
            <w:tcW w:type="dxa" w:w="626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Ohne Angabe der Warengruppe entscheiden die Stichwortregeln.</w:t>
            </w:r>
          </w:p>
        </w:tc>
      </w:tr>
      <w:tr>
        <w:tc>
          <w:tcPr>
            <w:tcW w:type="dxa" w:w="31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Zeile bearbeiten</w:t>
            </w:r>
          </w:p>
        </w:tc>
        <w:tc>
          <w:tcPr>
            <w:tcW w:type="dxa" w:w="62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Name, Warengruppe, Einheit, Grundvorrat, Sollmenge — Enter speichert.</w:t>
            </w:r>
          </w:p>
        </w:tc>
      </w:tr>
      <w:tr>
        <w:tc>
          <w:tcPr>
            <w:tcW w:type="dxa" w:w="310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Erhältlichkeit einschränken</w:t>
            </w:r>
          </w:p>
        </w:tc>
        <w:tc>
          <w:tcPr>
            <w:tcW w:type="dxa" w:w="626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„überall" ist der Normalfall; einzutragen ist nur die Ausnahme („nur im Asialaden").</w:t>
            </w:r>
          </w:p>
        </w:tc>
      </w:tr>
      <w:tr>
        <w:tc>
          <w:tcPr>
            <w:tcW w:type="dxa" w:w="31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Artikel löschen</w:t>
            </w:r>
          </w:p>
        </w:tc>
        <w:tc>
          <w:tcPr>
            <w:tcW w:type="dxa" w:w="62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Weiches Löschen; der Name wird wieder frei.</w:t>
            </w:r>
          </w:p>
        </w:tc>
      </w:tr>
      <w:tr>
        <w:tc>
          <w:tcPr>
            <w:tcW w:type="dxa" w:w="310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Dubletten zusammenführen</w:t>
            </w:r>
          </w:p>
        </w:tc>
        <w:tc>
          <w:tcPr>
            <w:tcW w:type="dxa" w:w="626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Verweise wandern mit, fehlende Angaben und die Erhältlichkeit werden übernommen.</w:t>
            </w:r>
          </w:p>
        </w:tc>
      </w:tr>
    </w:tbl>
    <w:p>
      <w:pPr>
        <w:spacing w:after="220" w:before="100"/>
      </w:pPr>
      <w:r>
        <w:rPr>
          <w:b/>
          <w:bCs/>
          <w:color w:val="6A6B66"/>
          <w:sz w:val="19"/>
          <w:szCs w:val="19"/>
        </w:rPr>
        <w:t xml:space="preserve">Datenbanktabellen: </w:t>
      </w:r>
      <w:r>
        <w:rPr>
          <w:rFonts w:ascii="Consolas" w:cs="Consolas" w:eastAsia="Consolas" w:hAnsi="Consolas"/>
          <w:color w:val="6A6B66"/>
          <w:sz w:val="19"/>
          <w:szCs w:val="19"/>
        </w:rPr>
        <w:t xml:space="preserve">products · product_groups · markets · market_product · shopping_list_items · product_group_rules</w:t>
      </w:r>
    </w:p>
    <w:p>
      <w:pPr>
        <w:pStyle w:val="Heading2"/>
        <w:pBdr>
          <w:bottom w:val="single" w:color="457A00" w:sz="6" w:space="4"/>
        </w:pBdr>
        <w:spacing w:after="120" w:before="280"/>
      </w:pPr>
      <w:r>
        <w:rPr>
          <w:b/>
          <w:bCs/>
          <w:color w:val="1C1D1B"/>
          <w:sz w:val="25"/>
          <w:szCs w:val="25"/>
        </w:rPr>
        <w:t xml:space="preserve">Warengruppen</w:t>
      </w:r>
    </w:p>
    <w:p>
      <w:pPr>
        <w:spacing w:after="140" w:before="40"/>
      </w:pPr>
      <w:r>
        <w:rPr>
          <w:rFonts w:ascii="Consolas" w:cs="Consolas" w:eastAsia="Consolas" w:hAnsi="Consolas"/>
          <w:color w:val="457A00"/>
          <w:sz w:val="19"/>
          <w:szCs w:val="19"/>
        </w:rPr>
        <w:t xml:space="preserve">/stammdaten/warengruppen</w:t>
      </w:r>
    </w:p>
    <w:p>
      <w:pPr>
        <w:spacing w:after="100" w:before="100"/>
      </w:pPr>
      <w:r>
        <w:rPr>
          <w:color w:val="1C1D1B"/>
          <w:sz w:val="21"/>
          <w:szCs w:val="21"/>
        </w:rPr>
        <w:t xml:space="preserve">Die Gliederung, nach der Liste und Katalog sortiert werden. Ersetzt die fest verdrahtete Kategorienliste der alten App.</w:t>
      </w:r>
    </w:p>
    <w:tbl>
      <w:tblPr>
        <w:tblW w:type="dxa" w:w="9360"/>
        <w:tblBorders>
          <w:top w:val="single" w:color="DCD6CB" w:sz="4"/>
          <w:left w:val="single" w:color="DCD6CB" w:sz="4"/>
          <w:bottom w:val="single" w:color="DCD6CB" w:sz="4"/>
          <w:right w:val="single" w:color="DCD6CB" w:sz="4"/>
          <w:insideH w:val="single" w:color="DCD6CB" w:sz="4"/>
          <w:insideV w:val="single" w:color="DCD6CB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457A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DFBF7"/>
                <w:sz w:val="19"/>
                <w:szCs w:val="19"/>
              </w:rPr>
              <w:t xml:space="preserve">Benutzeraktion</w:t>
            </w:r>
          </w:p>
        </w:tc>
        <w:tc>
          <w:tcPr>
            <w:tcW w:type="dxa" w:w="6260"/>
            <w:shd w:fill="457A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DFBF7"/>
                <w:sz w:val="19"/>
                <w:szCs w:val="19"/>
              </w:rPr>
              <w:t xml:space="preserve">Wirkung</w:t>
            </w:r>
          </w:p>
        </w:tc>
      </w:tr>
      <w:tr>
        <w:tc>
          <w:tcPr>
            <w:tcW w:type="dxa" w:w="31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Anlegen, umbenennen, sortieren, löschen</w:t>
            </w:r>
          </w:p>
        </w:tc>
        <w:tc>
          <w:tcPr>
            <w:tcW w:type="dxa" w:w="62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Nur Owner und Admin — die Gliederung gilt für alle Mitglieder.</w:t>
            </w:r>
          </w:p>
        </w:tc>
      </w:tr>
    </w:tbl>
    <w:p>
      <w:pPr>
        <w:spacing w:after="220" w:before="100"/>
      </w:pPr>
      <w:r>
        <w:rPr>
          <w:b/>
          <w:bCs/>
          <w:color w:val="6A6B66"/>
          <w:sz w:val="19"/>
          <w:szCs w:val="19"/>
        </w:rPr>
        <w:t xml:space="preserve">Datenbanktabellen: </w:t>
      </w:r>
      <w:r>
        <w:rPr>
          <w:rFonts w:ascii="Consolas" w:cs="Consolas" w:eastAsia="Consolas" w:hAnsi="Consolas"/>
          <w:color w:val="6A6B66"/>
          <w:sz w:val="19"/>
          <w:szCs w:val="19"/>
        </w:rPr>
        <w:t xml:space="preserve">product_groups · product_group_rules · products · market_section_groups</w:t>
      </w:r>
    </w:p>
    <w:p>
      <w:pPr>
        <w:pStyle w:val="Heading2"/>
        <w:pBdr>
          <w:bottom w:val="single" w:color="457A00" w:sz="6" w:space="4"/>
        </w:pBdr>
        <w:spacing w:after="120" w:before="280"/>
      </w:pPr>
      <w:r>
        <w:rPr>
          <w:b/>
          <w:bCs/>
          <w:color w:val="1C1D1B"/>
          <w:sz w:val="25"/>
          <w:szCs w:val="25"/>
        </w:rPr>
        <w:t xml:space="preserve">Märkte und Regalbereiche</w:t>
      </w:r>
    </w:p>
    <w:p>
      <w:pPr>
        <w:spacing w:after="140" w:before="40"/>
      </w:pPr>
      <w:r>
        <w:rPr>
          <w:rFonts w:ascii="Consolas" w:cs="Consolas" w:eastAsia="Consolas" w:hAnsi="Consolas"/>
          <w:color w:val="457A00"/>
          <w:sz w:val="19"/>
          <w:szCs w:val="19"/>
        </w:rPr>
        <w:t xml:space="preserve">/stammdaten/maerkte</w:t>
      </w:r>
    </w:p>
    <w:p>
      <w:pPr>
        <w:spacing w:after="100" w:before="100"/>
      </w:pPr>
      <w:r>
        <w:rPr>
          <w:color w:val="1C1D1B"/>
          <w:sz w:val="21"/>
          <w:szCs w:val="21"/>
        </w:rPr>
        <w:t xml:space="preserve">Jede Familie legt ihre eigenen Märkte an, benennt die Regalbereiche und bringt sie in Laufreihenfolge. Daraus entsteht die Sortierung der Einkaufsliste.</w:t>
      </w:r>
    </w:p>
    <w:tbl>
      <w:tblPr>
        <w:tblW w:type="dxa" w:w="9360"/>
        <w:tblBorders>
          <w:top w:val="single" w:color="DCD6CB" w:sz="4"/>
          <w:left w:val="single" w:color="DCD6CB" w:sz="4"/>
          <w:bottom w:val="single" w:color="DCD6CB" w:sz="4"/>
          <w:right w:val="single" w:color="DCD6CB" w:sz="4"/>
          <w:insideH w:val="single" w:color="DCD6CB" w:sz="4"/>
          <w:insideV w:val="single" w:color="DCD6CB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457A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DFBF7"/>
                <w:sz w:val="19"/>
                <w:szCs w:val="19"/>
              </w:rPr>
              <w:t xml:space="preserve">Benutzeraktion</w:t>
            </w:r>
          </w:p>
        </w:tc>
        <w:tc>
          <w:tcPr>
            <w:tcW w:type="dxa" w:w="6260"/>
            <w:shd w:fill="457A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DFBF7"/>
                <w:sz w:val="19"/>
                <w:szCs w:val="19"/>
              </w:rPr>
              <w:t xml:space="preserve">Wirkung</w:t>
            </w:r>
          </w:p>
        </w:tc>
      </w:tr>
      <w:tr>
        <w:tc>
          <w:tcPr>
            <w:tcW w:type="dxa" w:w="31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Markt anlegen, umbenennen, deaktivieren, löschen</w:t>
            </w:r>
          </w:p>
        </w:tc>
        <w:tc>
          <w:tcPr>
            <w:tcW w:type="dxa" w:w="62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Der erste Markt wird automatisch Standard.</w:t>
            </w:r>
          </w:p>
        </w:tc>
      </w:tr>
      <w:tr>
        <w:tc>
          <w:tcPr>
            <w:tcW w:type="dxa" w:w="310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Standardmarkt festlegen</w:t>
            </w:r>
          </w:p>
        </w:tc>
        <w:tc>
          <w:tcPr>
            <w:tcW w:type="dxa" w:w="626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Höchstens einer je Familie; ein deaktivierter kann es nicht sein.</w:t>
            </w:r>
          </w:p>
        </w:tc>
      </w:tr>
      <w:tr>
        <w:tc>
          <w:tcPr>
            <w:tcW w:type="dxa" w:w="31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Regalbereiche pflegen</w:t>
            </w:r>
          </w:p>
        </w:tc>
        <w:tc>
          <w:tcPr>
            <w:tcW w:type="dxa" w:w="62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Name und Laufreihenfolge.</w:t>
            </w:r>
          </w:p>
        </w:tc>
      </w:tr>
      <w:tr>
        <w:tc>
          <w:tcPr>
            <w:tcW w:type="dxa" w:w="310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Warengruppen zuordnen</w:t>
            </w:r>
          </w:p>
        </w:tc>
        <w:tc>
          <w:tcPr>
            <w:tcW w:type="dxa" w:w="626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Mehrfachzuordnung; bestimmt, in welchem Abschnitt ein Artikel erscheint.</w:t>
            </w:r>
          </w:p>
        </w:tc>
      </w:tr>
    </w:tbl>
    <w:p>
      <w:pPr>
        <w:spacing w:after="220" w:before="100"/>
      </w:pPr>
      <w:r>
        <w:rPr>
          <w:b/>
          <w:bCs/>
          <w:color w:val="6A6B66"/>
          <w:sz w:val="19"/>
          <w:szCs w:val="19"/>
        </w:rPr>
        <w:t xml:space="preserve">Datenbanktabellen: </w:t>
      </w:r>
      <w:r>
        <w:rPr>
          <w:rFonts w:ascii="Consolas" w:cs="Consolas" w:eastAsia="Consolas" w:hAnsi="Consolas"/>
          <w:color w:val="6A6B66"/>
          <w:sz w:val="19"/>
          <w:szCs w:val="19"/>
        </w:rPr>
        <w:t xml:space="preserve">markets · market_sections · market_section_groups · product_groups · shopping_lists</w:t>
      </w:r>
    </w:p>
    <w:p>
      <w:pPr>
        <w:pStyle w:val="Heading2"/>
        <w:pBdr>
          <w:bottom w:val="single" w:color="457A00" w:sz="6" w:space="4"/>
        </w:pBdr>
        <w:spacing w:after="120" w:before="280"/>
      </w:pPr>
      <w:r>
        <w:rPr>
          <w:b/>
          <w:bCs/>
          <w:color w:val="1C1D1B"/>
          <w:sz w:val="25"/>
          <w:szCs w:val="25"/>
        </w:rPr>
        <w:t xml:space="preserve">Familie</w:t>
      </w:r>
    </w:p>
    <w:p>
      <w:pPr>
        <w:spacing w:after="140" w:before="40"/>
      </w:pPr>
      <w:r>
        <w:rPr>
          <w:rFonts w:ascii="Consolas" w:cs="Consolas" w:eastAsia="Consolas" w:hAnsi="Consolas"/>
          <w:color w:val="457A00"/>
          <w:sz w:val="19"/>
          <w:szCs w:val="19"/>
        </w:rPr>
        <w:t xml:space="preserve">/familie</w:t>
      </w:r>
    </w:p>
    <w:p>
      <w:pPr>
        <w:spacing w:after="100" w:before="100"/>
      </w:pPr>
      <w:r>
        <w:rPr>
          <w:color w:val="1C1D1B"/>
          <w:sz w:val="21"/>
          <w:szCs w:val="21"/>
        </w:rPr>
        <w:t xml:space="preserve">Einstellungen der Familie und ihre Mitglieder.</w:t>
      </w:r>
    </w:p>
    <w:tbl>
      <w:tblPr>
        <w:tblW w:type="dxa" w:w="9360"/>
        <w:tblBorders>
          <w:top w:val="single" w:color="DCD6CB" w:sz="4"/>
          <w:left w:val="single" w:color="DCD6CB" w:sz="4"/>
          <w:bottom w:val="single" w:color="DCD6CB" w:sz="4"/>
          <w:right w:val="single" w:color="DCD6CB" w:sz="4"/>
          <w:insideH w:val="single" w:color="DCD6CB" w:sz="4"/>
          <w:insideV w:val="single" w:color="DCD6CB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457A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DFBF7"/>
                <w:sz w:val="19"/>
                <w:szCs w:val="19"/>
              </w:rPr>
              <w:t xml:space="preserve">Benutzeraktion</w:t>
            </w:r>
          </w:p>
        </w:tc>
        <w:tc>
          <w:tcPr>
            <w:tcW w:type="dxa" w:w="6260"/>
            <w:shd w:fill="457A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DFBF7"/>
                <w:sz w:val="19"/>
                <w:szCs w:val="19"/>
              </w:rPr>
              <w:t xml:space="preserve">Wirkung</w:t>
            </w:r>
          </w:p>
        </w:tc>
      </w:tr>
      <w:tr>
        <w:tc>
          <w:tcPr>
            <w:tcW w:type="dxa" w:w="31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Familie umbenennen, Zeitzone, Wochenstart</w:t>
            </w:r>
          </w:p>
        </w:tc>
        <w:tc>
          <w:tcPr>
            <w:tcW w:type="dxa" w:w="62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Nur Owner und Admin.</w:t>
            </w:r>
          </w:p>
        </w:tc>
      </w:tr>
      <w:tr>
        <w:tc>
          <w:tcPr>
            <w:tcW w:type="dxa" w:w="310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Mitglied einladen</w:t>
            </w:r>
          </w:p>
        </w:tc>
        <w:tc>
          <w:tcPr>
            <w:tcW w:type="dxa" w:w="626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Per E-Mail oder Einladungslink, mit vorgesehener Rolle.</w:t>
            </w:r>
          </w:p>
        </w:tc>
      </w:tr>
      <w:tr>
        <w:tc>
          <w:tcPr>
            <w:tcW w:type="dxa" w:w="31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Einladung widerrufen</w:t>
            </w:r>
          </w:p>
        </w:tc>
        <w:tc>
          <w:tcPr>
            <w:tcW w:type="dxa" w:w="62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Solange sie nicht eingelöst ist.</w:t>
            </w:r>
          </w:p>
        </w:tc>
      </w:tr>
      <w:tr>
        <w:tc>
          <w:tcPr>
            <w:tcW w:type="dxa" w:w="310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Rolle ändern, Mitglied entfernen</w:t>
            </w:r>
          </w:p>
        </w:tc>
        <w:tc>
          <w:tcPr>
            <w:tcW w:type="dxa" w:w="626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Nur der Owner.</w:t>
            </w:r>
          </w:p>
        </w:tc>
      </w:tr>
      <w:tr>
        <w:tc>
          <w:tcPr>
            <w:tcW w:type="dxa" w:w="31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Familie wechseln</w:t>
            </w:r>
          </w:p>
        </w:tc>
        <w:tc>
          <w:tcPr>
            <w:tcW w:type="dxa" w:w="62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Wenn man mehreren angehört.</w:t>
            </w:r>
          </w:p>
        </w:tc>
      </w:tr>
    </w:tbl>
    <w:p>
      <w:pPr>
        <w:spacing w:after="220" w:before="100"/>
      </w:pPr>
      <w:r>
        <w:rPr>
          <w:b/>
          <w:bCs/>
          <w:color w:val="6A6B66"/>
          <w:sz w:val="19"/>
          <w:szCs w:val="19"/>
        </w:rPr>
        <w:t xml:space="preserve">Datenbanktabellen: </w:t>
      </w:r>
      <w:r>
        <w:rPr>
          <w:rFonts w:ascii="Consolas" w:cs="Consolas" w:eastAsia="Consolas" w:hAnsi="Consolas"/>
          <w:color w:val="6A6B66"/>
          <w:sz w:val="19"/>
          <w:szCs w:val="19"/>
        </w:rPr>
        <w:t xml:space="preserve">families · family_settings · family_user · users · invitations · activity_log</w:t>
      </w:r>
    </w:p>
    <w:p>
      <w:pPr>
        <w:pStyle w:val="Heading2"/>
        <w:pBdr>
          <w:bottom w:val="single" w:color="457A00" w:sz="6" w:space="4"/>
        </w:pBdr>
        <w:spacing w:after="120" w:before="280"/>
      </w:pPr>
      <w:r>
        <w:rPr>
          <w:b/>
          <w:bCs/>
          <w:color w:val="1C1D1B"/>
          <w:sz w:val="25"/>
          <w:szCs w:val="25"/>
        </w:rPr>
        <w:t xml:space="preserve">Konto</w:t>
      </w:r>
    </w:p>
    <w:p>
      <w:pPr>
        <w:spacing w:after="140" w:before="40"/>
      </w:pPr>
      <w:r>
        <w:rPr>
          <w:rFonts w:ascii="Consolas" w:cs="Consolas" w:eastAsia="Consolas" w:hAnsi="Consolas"/>
          <w:color w:val="457A00"/>
          <w:sz w:val="19"/>
          <w:szCs w:val="19"/>
        </w:rPr>
        <w:t xml:space="preserve">/konto</w:t>
      </w:r>
    </w:p>
    <w:p>
      <w:pPr>
        <w:spacing w:after="100" w:before="100"/>
      </w:pPr>
      <w:r>
        <w:rPr>
          <w:color w:val="1C1D1B"/>
          <w:sz w:val="21"/>
          <w:szCs w:val="21"/>
        </w:rPr>
        <w:t xml:space="preserve">Das eigene Konto: Auskunft und Löschung nach DSGVO.</w:t>
      </w:r>
    </w:p>
    <w:tbl>
      <w:tblPr>
        <w:tblW w:type="dxa" w:w="9360"/>
        <w:tblBorders>
          <w:top w:val="single" w:color="DCD6CB" w:sz="4"/>
          <w:left w:val="single" w:color="DCD6CB" w:sz="4"/>
          <w:bottom w:val="single" w:color="DCD6CB" w:sz="4"/>
          <w:right w:val="single" w:color="DCD6CB" w:sz="4"/>
          <w:insideH w:val="single" w:color="DCD6CB" w:sz="4"/>
          <w:insideV w:val="single" w:color="DCD6CB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457A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DFBF7"/>
                <w:sz w:val="19"/>
                <w:szCs w:val="19"/>
              </w:rPr>
              <w:t xml:space="preserve">Benutzeraktion</w:t>
            </w:r>
          </w:p>
        </w:tc>
        <w:tc>
          <w:tcPr>
            <w:tcW w:type="dxa" w:w="6260"/>
            <w:shd w:fill="457A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DFBF7"/>
                <w:sz w:val="19"/>
                <w:szCs w:val="19"/>
              </w:rPr>
              <w:t xml:space="preserve">Wirkung</w:t>
            </w:r>
          </w:p>
        </w:tc>
      </w:tr>
      <w:tr>
        <w:tc>
          <w:tcPr>
            <w:tcW w:type="dxa" w:w="31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Daten exportieren</w:t>
            </w:r>
          </w:p>
        </w:tc>
        <w:tc>
          <w:tcPr>
            <w:tcW w:type="dxa" w:w="62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Auskunft nach Art. 15 als Datei.</w:t>
            </w:r>
          </w:p>
        </w:tc>
      </w:tr>
      <w:tr>
        <w:tc>
          <w:tcPr>
            <w:tcW w:type="dxa" w:w="310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Konto löschen</w:t>
            </w:r>
          </w:p>
        </w:tc>
        <w:tc>
          <w:tcPr>
            <w:tcW w:type="dxa" w:w="626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Art. 17. Die Familie bleibt bestehen, wenn andere Mitglieder da sind.</w:t>
            </w:r>
          </w:p>
        </w:tc>
      </w:tr>
      <w:tr>
        <w:tc>
          <w:tcPr>
            <w:tcW w:type="dxa" w:w="31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Familie löschen</w:t>
            </w:r>
          </w:p>
        </w:tc>
        <w:tc>
          <w:tcPr>
            <w:tcW w:type="dxa" w:w="62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Nur der Owner. Entfernt alle Daten der Familie unwiderruflich.</w:t>
            </w:r>
          </w:p>
        </w:tc>
      </w:tr>
    </w:tbl>
    <w:p>
      <w:pPr>
        <w:spacing w:after="220" w:before="100"/>
      </w:pPr>
      <w:r>
        <w:rPr>
          <w:b/>
          <w:bCs/>
          <w:color w:val="6A6B66"/>
          <w:sz w:val="19"/>
          <w:szCs w:val="19"/>
        </w:rPr>
        <w:t xml:space="preserve">Datenbanktabellen: </w:t>
      </w:r>
      <w:r>
        <w:rPr>
          <w:rFonts w:ascii="Consolas" w:cs="Consolas" w:eastAsia="Consolas" w:hAnsi="Consolas"/>
          <w:color w:val="6A6B66"/>
          <w:sz w:val="19"/>
          <w:szCs w:val="19"/>
        </w:rPr>
        <w:t xml:space="preserve">users · families · family_user · alle Familientabellen (Kaskade)</w:t>
      </w:r>
    </w:p>
    <w:p>
      <w:pPr>
        <w:pStyle w:val="Heading2"/>
        <w:pBdr>
          <w:bottom w:val="single" w:color="457A00" w:sz="6" w:space="4"/>
        </w:pBdr>
        <w:spacing w:after="120" w:before="280"/>
      </w:pPr>
      <w:r>
        <w:rPr>
          <w:b/>
          <w:bCs/>
          <w:color w:val="1C1D1B"/>
          <w:sz w:val="25"/>
          <w:szCs w:val="25"/>
        </w:rPr>
        <w:t xml:space="preserve">Geräteabgleich (Schnittstelle)</w:t>
      </w:r>
    </w:p>
    <w:p>
      <w:pPr>
        <w:spacing w:after="140" w:before="40"/>
      </w:pPr>
      <w:r>
        <w:rPr>
          <w:rFonts w:ascii="Consolas" w:cs="Consolas" w:eastAsia="Consolas" w:hAnsi="Consolas"/>
          <w:color w:val="457A00"/>
          <w:sz w:val="19"/>
          <w:szCs w:val="19"/>
        </w:rPr>
        <w:t xml:space="preserve">GET/POST /api/einkaufsliste/stand</w:t>
      </w:r>
    </w:p>
    <w:p>
      <w:pPr>
        <w:spacing w:after="100" w:before="100"/>
      </w:pPr>
      <w:r>
        <w:rPr>
          <w:color w:val="1C1D1B"/>
          <w:sz w:val="21"/>
          <w:szCs w:val="21"/>
        </w:rPr>
        <w:t xml:space="preserve">Keine Seite, sondern die JSON-Schnittstelle für den Abgleich zwischen Geräten. Sie liefert den Stand der Liste — auf Wunsch nur die Änderungen seit einer Zeitmarke — und nimmt Änderungen entgegen.</w:t>
      </w:r>
    </w:p>
    <w:tbl>
      <w:tblPr>
        <w:tblW w:type="dxa" w:w="9360"/>
        <w:tblBorders>
          <w:top w:val="single" w:color="DCD6CB" w:sz="4"/>
          <w:left w:val="single" w:color="DCD6CB" w:sz="4"/>
          <w:bottom w:val="single" w:color="DCD6CB" w:sz="4"/>
          <w:right w:val="single" w:color="DCD6CB" w:sz="4"/>
          <w:insideH w:val="single" w:color="DCD6CB" w:sz="4"/>
          <w:insideV w:val="single" w:color="DCD6CB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457A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DFBF7"/>
                <w:sz w:val="19"/>
                <w:szCs w:val="19"/>
              </w:rPr>
              <w:t xml:space="preserve">Benutzeraktion</w:t>
            </w:r>
          </w:p>
        </w:tc>
        <w:tc>
          <w:tcPr>
            <w:tcW w:type="dxa" w:w="6260"/>
            <w:shd w:fill="457A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DFBF7"/>
                <w:sz w:val="19"/>
                <w:szCs w:val="19"/>
              </w:rPr>
              <w:t xml:space="preserve">Wirkung</w:t>
            </w:r>
          </w:p>
        </w:tc>
      </w:tr>
      <w:tr>
        <w:tc>
          <w:tcPr>
            <w:tcW w:type="dxa" w:w="31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Stand abholen</w:t>
            </w:r>
          </w:p>
        </w:tc>
        <w:tc>
          <w:tcPr>
            <w:tcW w:type="dxa" w:w="62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Vollständig oder als Delta; Löschungen sind enthalten, weil sie weich sind.</w:t>
            </w:r>
          </w:p>
        </w:tc>
      </w:tr>
      <w:tr>
        <w:tc>
          <w:tcPr>
            <w:tcW w:type="dxa" w:w="310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Änderungen senden</w:t>
            </w:r>
          </w:p>
        </w:tc>
        <w:tc>
          <w:tcPr>
            <w:tcW w:type="dxa" w:w="6260"/>
            <w:shd w:fill="F2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Mit der bekannten Version. Weicht sie ab, antwortet der Server mit 409 und dem aktuellen Stand statt zu überschreiben.</w:t>
            </w:r>
          </w:p>
        </w:tc>
      </w:tr>
      <w:tr>
        <w:tc>
          <w:tcPr>
            <w:tcW w:type="dxa" w:w="31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Wiederholt senden</w:t>
            </w:r>
          </w:p>
        </w:tc>
        <w:tc>
          <w:tcPr>
            <w:tcW w:type="dxa" w:w="62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Jede Mutation trägt eine client_uuid und darf beliebig oft ankommen — der Normalfall nach einem Verbindungsabbruch.</w:t>
            </w:r>
          </w:p>
        </w:tc>
      </w:tr>
    </w:tbl>
    <w:p>
      <w:pPr>
        <w:spacing w:after="220" w:before="100"/>
      </w:pPr>
      <w:r>
        <w:rPr>
          <w:b/>
          <w:bCs/>
          <w:color w:val="6A6B66"/>
          <w:sz w:val="19"/>
          <w:szCs w:val="19"/>
        </w:rPr>
        <w:t xml:space="preserve">Datenbanktabellen: </w:t>
      </w:r>
      <w:r>
        <w:rPr>
          <w:rFonts w:ascii="Consolas" w:cs="Consolas" w:eastAsia="Consolas" w:hAnsi="Consolas"/>
          <w:color w:val="6A6B66"/>
          <w:sz w:val="19"/>
          <w:szCs w:val="19"/>
        </w:rPr>
        <w:t xml:space="preserve">shopping_lists · shopping_list_items · products · market_product · users</w:t>
      </w:r>
    </w:p>
    <w:p>
      <w:pPr>
        <w:pStyle w:val="Heading2"/>
        <w:pBdr>
          <w:bottom w:val="single" w:color="457A00" w:sz="6" w:space="4"/>
        </w:pBdr>
        <w:spacing w:after="120" w:before="280"/>
      </w:pPr>
      <w:r>
        <w:rPr>
          <w:b/>
          <w:bCs/>
          <w:color w:val="1C1D1B"/>
          <w:sz w:val="25"/>
          <w:szCs w:val="25"/>
        </w:rPr>
        <w:t xml:space="preserve">Health-Check (Betrieb)</w:t>
      </w:r>
    </w:p>
    <w:p>
      <w:pPr>
        <w:spacing w:after="140" w:before="40"/>
      </w:pPr>
      <w:r>
        <w:rPr>
          <w:rFonts w:ascii="Consolas" w:cs="Consolas" w:eastAsia="Consolas" w:hAnsi="Consolas"/>
          <w:color w:val="457A00"/>
          <w:sz w:val="19"/>
          <w:szCs w:val="19"/>
        </w:rPr>
        <w:t xml:space="preserve">GET /health</w:t>
      </w:r>
    </w:p>
    <w:p>
      <w:pPr>
        <w:spacing w:after="100" w:before="100"/>
      </w:pPr>
      <w:r>
        <w:rPr>
          <w:color w:val="1C1D1B"/>
          <w:sz w:val="21"/>
          <w:szCs w:val="21"/>
        </w:rPr>
        <w:t xml:space="preserve">Für den Smoke-Test nach jedem Deployment: Ist die Datenbank erreichbar, wie viele Migrationen sind ausgeführt, stehen noch welche aus?</w:t>
      </w:r>
    </w:p>
    <w:tbl>
      <w:tblPr>
        <w:tblW w:type="dxa" w:w="9360"/>
        <w:tblBorders>
          <w:top w:val="single" w:color="DCD6CB" w:sz="4"/>
          <w:left w:val="single" w:color="DCD6CB" w:sz="4"/>
          <w:bottom w:val="single" w:color="DCD6CB" w:sz="4"/>
          <w:right w:val="single" w:color="DCD6CB" w:sz="4"/>
          <w:insideH w:val="single" w:color="DCD6CB" w:sz="4"/>
          <w:insideV w:val="single" w:color="DCD6CB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457A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DFBF7"/>
                <w:sz w:val="19"/>
                <w:szCs w:val="19"/>
              </w:rPr>
              <w:t xml:space="preserve">Benutzeraktion</w:t>
            </w:r>
          </w:p>
        </w:tc>
        <w:tc>
          <w:tcPr>
            <w:tcW w:type="dxa" w:w="6260"/>
            <w:shd w:fill="457A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DFBF7"/>
                <w:sz w:val="19"/>
                <w:szCs w:val="19"/>
              </w:rPr>
              <w:t xml:space="preserve">Wirkung</w:t>
            </w:r>
          </w:p>
        </w:tc>
      </w:tr>
      <w:tr>
        <w:tc>
          <w:tcPr>
            <w:tcW w:type="dxa" w:w="31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Abrufen</w:t>
            </w:r>
          </w:p>
        </w:tc>
        <w:tc>
          <w:tcPr>
            <w:tcW w:type="dxa" w:w="62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Antwortet mit 200 „ok" oder 503 „degraded".</w:t>
            </w:r>
          </w:p>
        </w:tc>
      </w:tr>
    </w:tbl>
    <w:p>
      <w:pPr>
        <w:spacing w:after="220" w:before="100"/>
      </w:pPr>
      <w:r>
        <w:rPr>
          <w:b/>
          <w:bCs/>
          <w:color w:val="6A6B66"/>
          <w:sz w:val="19"/>
          <w:szCs w:val="19"/>
        </w:rPr>
        <w:t xml:space="preserve">Datenbanktabellen: </w:t>
      </w:r>
      <w:r>
        <w:rPr>
          <w:rFonts w:ascii="Consolas" w:cs="Consolas" w:eastAsia="Consolas" w:hAnsi="Consolas"/>
          <w:color w:val="6A6B66"/>
          <w:sz w:val="19"/>
          <w:szCs w:val="19"/>
        </w:rPr>
        <w:t xml:space="preserve">migrations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457A00"/>
          <w:sz w:val="32"/>
          <w:szCs w:val="32"/>
        </w:rPr>
        <w:t xml:space="preserve">Die Datenbanktabellen</w:t>
      </w:r>
    </w:p>
    <w:p>
      <w:pPr>
        <w:spacing w:after="100" w:before="100"/>
      </w:pPr>
      <w:r>
        <w:rPr>
          <w:color w:val="6A6B66"/>
          <w:sz w:val="21"/>
          <w:szCs w:val="21"/>
        </w:rPr>
        <w:t xml:space="preserve">Alle fachlichen Tabellen tragen eine family_id. Die Zeilen mit grünem Hintergrund gliedern nach Bereichen.</w:t>
      </w:r>
    </w:p>
    <w:tbl>
      <w:tblPr>
        <w:tblW w:type="dxa" w:w="9360"/>
        <w:tblBorders>
          <w:top w:val="single" w:color="DCD6CB" w:sz="4"/>
          <w:left w:val="single" w:color="DCD6CB" w:sz="4"/>
          <w:bottom w:val="single" w:color="DCD6CB" w:sz="4"/>
          <w:right w:val="single" w:color="DCD6CB" w:sz="4"/>
          <w:insideH w:val="single" w:color="DCD6CB" w:sz="4"/>
          <w:insideV w:val="single" w:color="DCD6CB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shd w:fill="457A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DFBF7"/>
                <w:sz w:val="19"/>
                <w:szCs w:val="19"/>
              </w:rPr>
              <w:t xml:space="preserve">Tabelle</w:t>
            </w:r>
          </w:p>
        </w:tc>
        <w:tc>
          <w:tcPr>
            <w:tcW w:type="dxa" w:w="4560"/>
            <w:shd w:fill="457A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DFBF7"/>
                <w:sz w:val="19"/>
                <w:szCs w:val="19"/>
              </w:rPr>
              <w:t xml:space="preserve">Inhalt</w:t>
            </w:r>
          </w:p>
        </w:tc>
        <w:tc>
          <w:tcPr>
            <w:tcW w:type="dxa" w:w="2400"/>
            <w:shd w:fill="457A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DFBF7"/>
                <w:sz w:val="19"/>
                <w:szCs w:val="19"/>
              </w:rPr>
              <w:t xml:space="preserve">Wichtige Spalten</w:t>
            </w:r>
          </w:p>
        </w:tc>
      </w:tr>
      <w:tr>
        <w:tc>
          <w:tcPr>
            <w:tcW w:type="dxa" w:w="9360"/>
            <w:gridSpan w:val="3"/>
            <w:shd w:fill="457A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DFBF7"/>
                <w:sz w:val="20"/>
                <w:szCs w:val="20"/>
              </w:rPr>
              <w:t xml:space="preserve">Mandant und Konten</w:t>
            </w:r>
          </w:p>
        </w:tc>
      </w:tr>
      <w:tr>
        <w:tc>
          <w:tcPr>
            <w:tcW w:type="dxa" w:w="24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C1D1B"/>
                <w:sz w:val="19"/>
                <w:szCs w:val="19"/>
              </w:rPr>
              <w:t xml:space="preserve">families</w:t>
            </w:r>
          </w:p>
        </w:tc>
        <w:tc>
          <w:tcPr>
            <w:tcW w:type="dxa" w:w="45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Der Mandant. Jede fachliche Zeile der Anwendung trägt seine ID.</w:t>
            </w:r>
          </w:p>
        </w:tc>
        <w:tc>
          <w:tcPr>
            <w:tcW w:type="dxa" w:w="24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name, locale, timezone, week_starts_on, status</w:t>
            </w:r>
          </w:p>
        </w:tc>
      </w:tr>
      <w:tr>
        <w:tc>
          <w:tcPr>
            <w:tcW w:type="dxa" w:w="24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C1D1B"/>
                <w:sz w:val="19"/>
                <w:szCs w:val="19"/>
              </w:rPr>
              <w:t xml:space="preserve">users</w:t>
            </w:r>
          </w:p>
        </w:tc>
        <w:tc>
          <w:tcPr>
            <w:tcW w:type="dxa" w:w="45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Konten. Ein Nutzer kann mehreren Familien angehören.</w:t>
            </w:r>
          </w:p>
        </w:tc>
        <w:tc>
          <w:tcPr>
            <w:tcW w:type="dxa" w:w="24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public_id, name, email, password, current_family_id</w:t>
            </w:r>
          </w:p>
        </w:tc>
      </w:tr>
      <w:tr>
        <w:tc>
          <w:tcPr>
            <w:tcW w:type="dxa" w:w="24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C1D1B"/>
                <w:sz w:val="19"/>
                <w:szCs w:val="19"/>
              </w:rPr>
              <w:t xml:space="preserve">family_user</w:t>
            </w:r>
          </w:p>
        </w:tc>
        <w:tc>
          <w:tcPr>
            <w:tcW w:type="dxa" w:w="45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Mitgliedschaft samt Rolle (owner, admin, member, child).</w:t>
            </w:r>
          </w:p>
        </w:tc>
        <w:tc>
          <w:tcPr>
            <w:tcW w:type="dxa" w:w="24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family_id, user_id, role, joined_at</w:t>
            </w:r>
          </w:p>
        </w:tc>
      </w:tr>
      <w:tr>
        <w:tc>
          <w:tcPr>
            <w:tcW w:type="dxa" w:w="24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C1D1B"/>
                <w:sz w:val="19"/>
                <w:szCs w:val="19"/>
              </w:rPr>
              <w:t xml:space="preserve">family_settings</w:t>
            </w:r>
          </w:p>
        </w:tc>
        <w:tc>
          <w:tcPr>
            <w:tcW w:type="dxa" w:w="45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Freie Einstellungen je Familie.</w:t>
            </w:r>
          </w:p>
        </w:tc>
        <w:tc>
          <w:tcPr>
            <w:tcW w:type="dxa" w:w="24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family_id, key, value</w:t>
            </w:r>
          </w:p>
        </w:tc>
      </w:tr>
      <w:tr>
        <w:tc>
          <w:tcPr>
            <w:tcW w:type="dxa" w:w="24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C1D1B"/>
                <w:sz w:val="19"/>
                <w:szCs w:val="19"/>
              </w:rPr>
              <w:t xml:space="preserve">invitations</w:t>
            </w:r>
          </w:p>
        </w:tc>
        <w:tc>
          <w:tcPr>
            <w:tcW w:type="dxa" w:w="45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Einladungen mit Token und Ablauf.</w:t>
            </w:r>
          </w:p>
        </w:tc>
        <w:tc>
          <w:tcPr>
            <w:tcW w:type="dxa" w:w="24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token, email, role, expires_at, redeemed_at</w:t>
            </w:r>
          </w:p>
        </w:tc>
      </w:tr>
      <w:tr>
        <w:tc>
          <w:tcPr>
            <w:tcW w:type="dxa" w:w="24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C1D1B"/>
                <w:sz w:val="19"/>
                <w:szCs w:val="19"/>
              </w:rPr>
              <w:t xml:space="preserve">login_attempts</w:t>
            </w:r>
          </w:p>
        </w:tc>
        <w:tc>
          <w:tcPr>
            <w:tcW w:type="dxa" w:w="45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Fehlversuche für die Brute-Force-Sperre.</w:t>
            </w:r>
          </w:p>
        </w:tc>
        <w:tc>
          <w:tcPr>
            <w:tcW w:type="dxa" w:w="24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email, ip, succeeded_at</w:t>
            </w:r>
          </w:p>
        </w:tc>
      </w:tr>
      <w:tr>
        <w:tc>
          <w:tcPr>
            <w:tcW w:type="dxa" w:w="24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C1D1B"/>
                <w:sz w:val="19"/>
                <w:szCs w:val="19"/>
              </w:rPr>
              <w:t xml:space="preserve">activity_log</w:t>
            </w:r>
          </w:p>
        </w:tc>
        <w:tc>
          <w:tcPr>
            <w:tcW w:type="dxa" w:w="45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Was in einer Familie geschehen ist.</w:t>
            </w:r>
          </w:p>
        </w:tc>
        <w:tc>
          <w:tcPr>
            <w:tcW w:type="dxa" w:w="24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action, subject_type, subject_id, meta</w:t>
            </w:r>
          </w:p>
        </w:tc>
      </w:tr>
      <w:tr>
        <w:tc>
          <w:tcPr>
            <w:tcW w:type="dxa" w:w="9360"/>
            <w:gridSpan w:val="3"/>
            <w:shd w:fill="457A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DFBF7"/>
                <w:sz w:val="20"/>
                <w:szCs w:val="20"/>
              </w:rPr>
              <w:t xml:space="preserve">Stammdaten</w:t>
            </w:r>
          </w:p>
        </w:tc>
      </w:tr>
      <w:tr>
        <w:tc>
          <w:tcPr>
            <w:tcW w:type="dxa" w:w="24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C1D1B"/>
                <w:sz w:val="19"/>
                <w:szCs w:val="19"/>
              </w:rPr>
              <w:t xml:space="preserve">product_groups</w:t>
            </w:r>
          </w:p>
        </w:tc>
        <w:tc>
          <w:tcPr>
            <w:tcW w:type="dxa" w:w="45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Warengruppen — die Gliederung von Liste und Katalog.</w:t>
            </w:r>
          </w:p>
        </w:tc>
        <w:tc>
          <w:tcPr>
            <w:tcW w:type="dxa" w:w="24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code, label, sort</w:t>
            </w:r>
          </w:p>
        </w:tc>
      </w:tr>
      <w:tr>
        <w:tc>
          <w:tcPr>
            <w:tcW w:type="dxa" w:w="24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C1D1B"/>
                <w:sz w:val="19"/>
                <w:szCs w:val="19"/>
              </w:rPr>
              <w:t xml:space="preserve">product_group_rules</w:t>
            </w:r>
          </w:p>
        </w:tc>
        <w:tc>
          <w:tcPr>
            <w:tcW w:type="dxa" w:w="45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Stichwortregeln der Auto-Kategorisierung, kleinste priority zuerst.</w:t>
            </w:r>
          </w:p>
        </w:tc>
        <w:tc>
          <w:tcPr>
            <w:tcW w:type="dxa" w:w="24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pattern, is_regex, priority</w:t>
            </w:r>
          </w:p>
        </w:tc>
      </w:tr>
      <w:tr>
        <w:tc>
          <w:tcPr>
            <w:tcW w:type="dxa" w:w="24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C1D1B"/>
                <w:sz w:val="19"/>
                <w:szCs w:val="19"/>
              </w:rPr>
              <w:t xml:space="preserve">products</w:t>
            </w:r>
          </w:p>
        </w:tc>
        <w:tc>
          <w:tcPr>
            <w:tcW w:type="dxa" w:w="45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Der Artikelkatalog: gemeinsame Klammer für Liste, Rezept und Vorrat. Enthält seit der Zusammenführung auch den Grundvorrat.</w:t>
            </w:r>
          </w:p>
        </w:tc>
        <w:tc>
          <w:tcPr>
            <w:tcW w:type="dxa" w:w="24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name, name_normalized, default_unit, is_pantry_staple, pantry_target_amount</w:t>
            </w:r>
          </w:p>
        </w:tc>
      </w:tr>
      <w:tr>
        <w:tc>
          <w:tcPr>
            <w:tcW w:type="dxa" w:w="24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C1D1B"/>
                <w:sz w:val="19"/>
                <w:szCs w:val="19"/>
              </w:rPr>
              <w:t xml:space="preserve">markets</w:t>
            </w:r>
          </w:p>
        </w:tc>
        <w:tc>
          <w:tcPr>
            <w:tcW w:type="dxa" w:w="45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Märkte der Familie, einer davon Standard.</w:t>
            </w:r>
          </w:p>
        </w:tc>
        <w:tc>
          <w:tcPr>
            <w:tcW w:type="dxa" w:w="24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name, sort, is_default, is_active</w:t>
            </w:r>
          </w:p>
        </w:tc>
      </w:tr>
      <w:tr>
        <w:tc>
          <w:tcPr>
            <w:tcW w:type="dxa" w:w="24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C1D1B"/>
                <w:sz w:val="19"/>
                <w:szCs w:val="19"/>
              </w:rPr>
              <w:t xml:space="preserve">market_sections</w:t>
            </w:r>
          </w:p>
        </w:tc>
        <w:tc>
          <w:tcPr>
            <w:tcW w:type="dxa" w:w="45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Regalbereiche in Laufreihenfolge.</w:t>
            </w:r>
          </w:p>
        </w:tc>
        <w:tc>
          <w:tcPr>
            <w:tcW w:type="dxa" w:w="24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market_id, name, sort</w:t>
            </w:r>
          </w:p>
        </w:tc>
      </w:tr>
      <w:tr>
        <w:tc>
          <w:tcPr>
            <w:tcW w:type="dxa" w:w="24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C1D1B"/>
                <w:sz w:val="19"/>
                <w:szCs w:val="19"/>
              </w:rPr>
              <w:t xml:space="preserve">market_section_groups</w:t>
            </w:r>
          </w:p>
        </w:tc>
        <w:tc>
          <w:tcPr>
            <w:tcW w:type="dxa" w:w="45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Welche Warengruppe in welchem Regalbereich liegt.</w:t>
            </w:r>
          </w:p>
        </w:tc>
        <w:tc>
          <w:tcPr>
            <w:tcW w:type="dxa" w:w="24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market_section_id, product_group_id</w:t>
            </w:r>
          </w:p>
        </w:tc>
      </w:tr>
      <w:tr>
        <w:tc>
          <w:tcPr>
            <w:tcW w:type="dxa" w:w="24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C1D1B"/>
                <w:sz w:val="19"/>
                <w:szCs w:val="19"/>
              </w:rPr>
              <w:t xml:space="preserve">market_product</w:t>
            </w:r>
          </w:p>
        </w:tc>
        <w:tc>
          <w:tcPr>
            <w:tcW w:type="dxa" w:w="45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Wo es einen Artikel gibt. Leer heißt: überall.</w:t>
            </w:r>
          </w:p>
        </w:tc>
        <w:tc>
          <w:tcPr>
            <w:tcW w:type="dxa" w:w="24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market_id, product_id</w:t>
            </w:r>
          </w:p>
        </w:tc>
      </w:tr>
      <w:tr>
        <w:tc>
          <w:tcPr>
            <w:tcW w:type="dxa" w:w="9360"/>
            <w:gridSpan w:val="3"/>
            <w:shd w:fill="457A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DFBF7"/>
                <w:sz w:val="20"/>
                <w:szCs w:val="20"/>
              </w:rPr>
              <w:t xml:space="preserve">Einkaufsliste</w:t>
            </w:r>
          </w:p>
        </w:tc>
      </w:tr>
      <w:tr>
        <w:tc>
          <w:tcPr>
            <w:tcW w:type="dxa" w:w="24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C1D1B"/>
                <w:sz w:val="19"/>
                <w:szCs w:val="19"/>
              </w:rPr>
              <w:t xml:space="preserve">shopping_lists</w:t>
            </w:r>
          </w:p>
        </w:tc>
        <w:tc>
          <w:tcPr>
            <w:tcW w:type="dxa" w:w="45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Eine Liste je Einkauf. Je Familie höchstens eine aktive — von der Datenbank erzwungen.</w:t>
            </w:r>
          </w:p>
        </w:tc>
        <w:tc>
          <w:tcPr>
            <w:tcW w:type="dxa" w:w="24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public_id, status, version, market_id, archived_at</w:t>
            </w:r>
          </w:p>
        </w:tc>
      </w:tr>
      <w:tr>
        <w:tc>
          <w:tcPr>
            <w:tcW w:type="dxa" w:w="24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C1D1B"/>
                <w:sz w:val="19"/>
                <w:szCs w:val="19"/>
              </w:rPr>
              <w:t xml:space="preserve">shopping_list_items</w:t>
            </w:r>
          </w:p>
        </w:tc>
        <w:tc>
          <w:tcPr>
            <w:tcW w:type="dxa" w:w="45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Die Einträge. Weiches Löschen, damit der Abgleich Löschungen mitbekommt.</w:t>
            </w:r>
          </w:p>
        </w:tc>
        <w:tc>
          <w:tcPr>
            <w:tcW w:type="dxa" w:w="24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client_uuid, raw_name, amount, unit, note, is_checked, source</w:t>
            </w:r>
          </w:p>
        </w:tc>
      </w:tr>
      <w:tr>
        <w:tc>
          <w:tcPr>
            <w:tcW w:type="dxa" w:w="24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C1D1B"/>
                <w:sz w:val="19"/>
                <w:szCs w:val="19"/>
              </w:rPr>
              <w:t xml:space="preserve">list_templates</w:t>
            </w:r>
          </w:p>
        </w:tc>
        <w:tc>
          <w:tcPr>
            <w:tcW w:type="dxa" w:w="45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Vorlagen für neue Listen; höchstens eine als Standard.</w:t>
            </w:r>
          </w:p>
        </w:tc>
        <w:tc>
          <w:tcPr>
            <w:tcW w:type="dxa" w:w="24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public_id, name, description, is_default</w:t>
            </w:r>
          </w:p>
        </w:tc>
      </w:tr>
      <w:tr>
        <w:tc>
          <w:tcPr>
            <w:tcW w:type="dxa" w:w="24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C1D1B"/>
                <w:sz w:val="19"/>
                <w:szCs w:val="19"/>
              </w:rPr>
              <w:t xml:space="preserve">list_template_items</w:t>
            </w:r>
          </w:p>
        </w:tc>
        <w:tc>
          <w:tcPr>
            <w:tcW w:type="dxa" w:w="45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Positionen einer Vorlage.</w:t>
            </w:r>
          </w:p>
        </w:tc>
        <w:tc>
          <w:tcPr>
            <w:tcW w:type="dxa" w:w="24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template_id, raw_name, amount, unit, note</w:t>
            </w:r>
          </w:p>
        </w:tc>
      </w:tr>
      <w:tr>
        <w:tc>
          <w:tcPr>
            <w:tcW w:type="dxa" w:w="9360"/>
            <w:gridSpan w:val="3"/>
            <w:shd w:fill="457A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DFBF7"/>
                <w:sz w:val="20"/>
                <w:szCs w:val="20"/>
              </w:rPr>
              <w:t xml:space="preserve">Rezepte</w:t>
            </w:r>
          </w:p>
        </w:tc>
      </w:tr>
      <w:tr>
        <w:tc>
          <w:tcPr>
            <w:tcW w:type="dxa" w:w="24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C1D1B"/>
                <w:sz w:val="19"/>
                <w:szCs w:val="19"/>
              </w:rPr>
              <w:t xml:space="preserve">recipes</w:t>
            </w:r>
          </w:p>
        </w:tc>
        <w:tc>
          <w:tcPr>
            <w:tcW w:type="dxa" w:w="45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Rezepte mit Zubereitung, Nährwerten und Aufwand.</w:t>
            </w:r>
          </w:p>
        </w:tc>
        <w:tc>
          <w:tcPr>
            <w:tcW w:type="dxa" w:w="24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public_id, name, slug, servings, effort, instructions, is_favorite</w:t>
            </w:r>
          </w:p>
        </w:tc>
      </w:tr>
      <w:tr>
        <w:tc>
          <w:tcPr>
            <w:tcW w:type="dxa" w:w="24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C1D1B"/>
                <w:sz w:val="19"/>
                <w:szCs w:val="19"/>
              </w:rPr>
              <w:t xml:space="preserve">recipe_ingredients</w:t>
            </w:r>
          </w:p>
        </w:tc>
        <w:tc>
          <w:tcPr>
            <w:tcW w:type="dxa" w:w="45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Zutaten mit Originaltext, Einkaufsname und Sammelbegriff.</w:t>
            </w:r>
          </w:p>
        </w:tc>
        <w:tc>
          <w:tcPr>
            <w:tcW w:type="dxa" w:w="24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raw_name, amount, unit, is_pantry, buy_label, merge_key</w:t>
            </w:r>
          </w:p>
        </w:tc>
      </w:tr>
      <w:tr>
        <w:tc>
          <w:tcPr>
            <w:tcW w:type="dxa" w:w="24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C1D1B"/>
                <w:sz w:val="19"/>
                <w:szCs w:val="19"/>
              </w:rPr>
              <w:t xml:space="preserve">tags</w:t>
            </w:r>
          </w:p>
        </w:tc>
        <w:tc>
          <w:tcPr>
            <w:tcW w:type="dxa" w:w="45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Schlagworte nach Art (Protein, Küche, Ernährung …).</w:t>
            </w:r>
          </w:p>
        </w:tc>
        <w:tc>
          <w:tcPr>
            <w:tcW w:type="dxa" w:w="24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type, name</w:t>
            </w:r>
          </w:p>
        </w:tc>
      </w:tr>
      <w:tr>
        <w:tc>
          <w:tcPr>
            <w:tcW w:type="dxa" w:w="24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C1D1B"/>
                <w:sz w:val="19"/>
                <w:szCs w:val="19"/>
              </w:rPr>
              <w:t xml:space="preserve">recipe_tag</w:t>
            </w:r>
          </w:p>
        </w:tc>
        <w:tc>
          <w:tcPr>
            <w:tcW w:type="dxa" w:w="45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Zuordnung Rezept ↔ Schlagwort.</w:t>
            </w:r>
          </w:p>
        </w:tc>
        <w:tc>
          <w:tcPr>
            <w:tcW w:type="dxa" w:w="24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recipe_id, tag_id</w:t>
            </w:r>
          </w:p>
        </w:tc>
      </w:tr>
      <w:tr>
        <w:tc>
          <w:tcPr>
            <w:tcW w:type="dxa" w:w="9360"/>
            <w:gridSpan w:val="3"/>
            <w:shd w:fill="457A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DFBF7"/>
                <w:sz w:val="20"/>
                <w:szCs w:val="20"/>
              </w:rPr>
              <w:t xml:space="preserve">Betrieb</w:t>
            </w:r>
          </w:p>
        </w:tc>
      </w:tr>
      <w:tr>
        <w:tc>
          <w:tcPr>
            <w:tcW w:type="dxa" w:w="24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C1D1B"/>
                <w:sz w:val="19"/>
                <w:szCs w:val="19"/>
              </w:rPr>
              <w:t xml:space="preserve">sessions, cache, jobs, migrations</w:t>
            </w:r>
          </w:p>
        </w:tc>
        <w:tc>
          <w:tcPr>
            <w:tcW w:type="dxa" w:w="456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Technische Tabellen des Frameworks.</w:t>
            </w:r>
          </w:p>
        </w:tc>
        <w:tc>
          <w:tcPr>
            <w:tcW w:type="dxa" w:w="2400"/>
            <w:shd w:fill="FDFB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C1D1B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457A00"/>
          <w:sz w:val="32"/>
          <w:szCs w:val="32"/>
        </w:rPr>
        <w:t xml:space="preserve">Drei Eigenheiten, die man kennen sollte</w:t>
      </w:r>
    </w:p>
    <w:p>
      <w:pPr>
        <w:pStyle w:val="Heading3"/>
        <w:spacing w:after="80" w:before="200"/>
      </w:pPr>
      <w:r>
        <w:rPr>
          <w:b/>
          <w:bCs/>
          <w:color w:val="C86D51"/>
          <w:sz w:val="22"/>
          <w:szCs w:val="22"/>
        </w:rPr>
        <w:t xml:space="preserve">Es gibt immer genau eine aktive Liste</w:t>
      </w:r>
    </w:p>
    <w:p>
      <w:pPr>
        <w:spacing w:after="100" w:before="100"/>
      </w:pPr>
      <w:r>
        <w:rPr>
          <w:color w:val="1C1D1B"/>
          <w:sz w:val="21"/>
          <w:szCs w:val="21"/>
        </w:rPr>
        <w:t xml:space="preserve">Die Datenbank erzwingt das über eine berechnete Spalte: Archivierte Listen tragen dort NULL, aktive eine 1 — und ein eindeutiger Schlüssel über (family_id, dieser Spalte) lässt keine zweite aktive Liste zu. Auch nicht bei einem Eingriff von Hand.</w:t>
      </w:r>
    </w:p>
    <w:p>
      <w:pPr>
        <w:pStyle w:val="Heading3"/>
        <w:spacing w:after="80" w:before="200"/>
      </w:pPr>
      <w:r>
        <w:rPr>
          <w:b/>
          <w:bCs/>
          <w:color w:val="C86D51"/>
          <w:sz w:val="22"/>
          <w:szCs w:val="22"/>
        </w:rPr>
        <w:t xml:space="preserve">Grundvorrat statt Fixartikel</w:t>
      </w:r>
    </w:p>
    <w:p>
      <w:pPr>
        <w:spacing w:after="100" w:before="100"/>
      </w:pPr>
      <w:r>
        <w:rPr>
          <w:color w:val="1C1D1B"/>
          <w:sz w:val="21"/>
          <w:szCs w:val="21"/>
        </w:rPr>
        <w:t xml:space="preserve">Beides war dasselbe: was jede Woche gebraucht wird und im Schrank steht. Seit der Zusammenführung gibt es nur noch den Grundvorrat — ein Kennzeichen am Artikel samt Sollmenge. Der Assistent „Neue Woche" und die Bestandsaufnahme arbeiten damit; die frühere Tabelle standing_items wurde aufgelöst und ihre Inhalte in den Artikelkatalog überführt.</w:t>
      </w:r>
    </w:p>
    <w:p>
      <w:pPr>
        <w:pStyle w:val="Heading3"/>
        <w:spacing w:after="80" w:before="200"/>
      </w:pPr>
      <w:r>
        <w:rPr>
          <w:b/>
          <w:bCs/>
          <w:color w:val="C86D51"/>
          <w:sz w:val="22"/>
          <w:szCs w:val="22"/>
        </w:rPr>
        <w:t xml:space="preserve">Freitext bleibt im Zweifel stehen</w:t>
      </w:r>
    </w:p>
    <w:p>
      <w:pPr>
        <w:spacing w:after="100" w:before="100"/>
      </w:pPr>
      <w:r>
        <w:rPr>
          <w:color w:val="1C1D1B"/>
          <w:sz w:val="21"/>
          <w:szCs w:val="21"/>
        </w:rPr>
        <w:t xml:space="preserve">Aus „2 l Milch" werden Menge, Einheit und Name. Ein Wort gilt aber nur als Einheit, wenn es bekannt ist — sonst wäre in „3 Zwiebeln" die Einheit „Zwiebeln" und der Artikel namenlos. Was sich nicht rechnen lässt („1-2"), wird nicht gerechnet und darum auch nicht addiert.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D1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Wocheneinkauf — Seiten, Aktionen, Datenbanktabellen</dc:title>
  <dc:creator>Wocheneinkauf</dc:creator>
  <dc:description>Dokumentation der Anwendungsseiten mit Benutzeraktionen und verwendeten Tabellen</dc:description>
  <cp:lastModifiedBy>Un-named</cp:lastModifiedBy>
  <cp:revision>1</cp:revision>
  <dcterms:created xsi:type="dcterms:W3CDTF">2026-08-04T15:14:23.811Z</dcterms:created>
  <dcterms:modified xsi:type="dcterms:W3CDTF">2026-08-04T15:14:23.815Z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