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Inhaltsverzeichnisberschrift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dbe97128e3acdf393bb7d7185a33d865618a2f9"/>
    <w:p>
      <w:pPr>
        <w:pStyle w:val="berschrift1"/>
      </w:pPr>
      <w:r>
        <w:rPr>
          <w:rStyle w:val="SectionNumber"/>
        </w:rPr>
        <w:t xml:space="preserve">1</w:t>
      </w:r>
      <w:r>
        <w:tab/>
      </w:r>
      <w:r>
        <w:t xml:space="preserve">Pflichtenheft / Feinkonzept &amp; Abnahmekriterien – YYYY-PH-nnnn-Liefergegenstand</w:t>
      </w:r>
    </w:p>
    <w:bookmarkStart w:id="13" w:name="dokumentinformationen"/>
    <w:p>
      <w:pPr>
        <w:pStyle w:val="berschrift2"/>
      </w:pPr>
      <w:r>
        <w:rPr>
          <w:rStyle w:val="SectionNumber"/>
        </w:rPr>
        <w:t xml:space="preserve">1.1</w:t>
      </w:r>
      <w:r>
        <w:tab/>
      </w:r>
      <w:r>
        <w:t xml:space="preserve">1. Dokumentinformationen</w:t>
      </w:r>
    </w:p>
    <w:bookmarkStart w:id="9" w:name="X522826a30db436edc9f1a37854bcdf626cab3c3"/>
    <w:p>
      <w:pPr>
        <w:pStyle w:val="berschrift3"/>
      </w:pPr>
      <w:r>
        <w:rPr>
          <w:rStyle w:val="SectionNumber"/>
        </w:rPr>
        <w:t xml:space="preserve">1.1.1</w:t>
      </w:r>
      <w:r>
        <w:tab/>
      </w:r>
      <w:r>
        <w:t xml:space="preserve">1.1 Prozess-ID und Dateiname: YYYY-PH-nnnn-Liefergegenstand.docx</w:t>
      </w:r>
    </w:p>
    <w:bookmarkEnd w:id="9"/>
    <w:bookmarkStart w:id="10" w:name="version-und-status"/>
    <w:p>
      <w:pPr>
        <w:pStyle w:val="berschrift3"/>
      </w:pPr>
      <w:r>
        <w:rPr>
          <w:rStyle w:val="SectionNumber"/>
        </w:rPr>
        <w:t xml:space="preserve">1.1.2</w:t>
      </w:r>
      <w:r>
        <w:tab/>
      </w:r>
      <w:r>
        <w:t xml:space="preserve">1.2 Version und Status</w:t>
      </w:r>
    </w:p>
    <w:bookmarkEnd w:id="10"/>
    <w:bookmarkStart w:id="11" w:name="beteiligte-fachbereiche-und-it"/>
    <w:p>
      <w:pPr>
        <w:pStyle w:val="berschrift3"/>
      </w:pPr>
      <w:r>
        <w:rPr>
          <w:rStyle w:val="SectionNumber"/>
        </w:rPr>
        <w:t xml:space="preserve">1.1.3</w:t>
      </w:r>
      <w:r>
        <w:tab/>
      </w:r>
      <w:r>
        <w:t xml:space="preserve">1.3 Beteiligte Fachbereiche und IT</w:t>
      </w:r>
    </w:p>
    <w:bookmarkEnd w:id="11"/>
    <w:bookmarkStart w:id="12" w:name="änderungsverlauf"/>
    <w:p>
      <w:pPr>
        <w:pStyle w:val="berschrift3"/>
      </w:pPr>
      <w:r>
        <w:rPr>
          <w:rStyle w:val="SectionNumber"/>
        </w:rPr>
        <w:t xml:space="preserve">1.1.4</w:t>
      </w:r>
      <w:r>
        <w:tab/>
      </w:r>
      <w:r>
        <w:t xml:space="preserve">1.4 Änderungsverlauf</w:t>
      </w:r>
    </w:p>
    <w:bookmarkEnd w:id="12"/>
    <w:bookmarkEnd w:id="13"/>
    <w:bookmarkStart w:id="17" w:name="detailprozessbeschreibung"/>
    <w:p>
      <w:pPr>
        <w:pStyle w:val="berschrift2"/>
      </w:pPr>
      <w:r>
        <w:rPr>
          <w:rStyle w:val="SectionNumber"/>
        </w:rPr>
        <w:t xml:space="preserve">1.2</w:t>
      </w:r>
      <w:r>
        <w:tab/>
      </w:r>
      <w:r>
        <w:t xml:space="preserve">2. Detailprozessbeschreibung</w:t>
      </w:r>
    </w:p>
    <w:bookmarkStart w:id="14" w:name="prozessziel-und-scope"/>
    <w:p>
      <w:pPr>
        <w:pStyle w:val="berschrift3"/>
      </w:pPr>
      <w:r>
        <w:rPr>
          <w:rStyle w:val="SectionNumber"/>
        </w:rPr>
        <w:t xml:space="preserve">1.2.1</w:t>
      </w:r>
      <w:r>
        <w:tab/>
      </w:r>
      <w:r>
        <w:t xml:space="preserve">2.1 Prozessziel und Scope</w:t>
      </w:r>
    </w:p>
    <w:bookmarkEnd w:id="14"/>
    <w:bookmarkStart w:id="15" w:name="detaillierter-prozessablauf"/>
    <w:p>
      <w:pPr>
        <w:pStyle w:val="berschrift3"/>
      </w:pPr>
      <w:r>
        <w:rPr>
          <w:rStyle w:val="SectionNumber"/>
        </w:rPr>
        <w:t xml:space="preserve">1.2.2</w:t>
      </w:r>
      <w:r>
        <w:tab/>
      </w:r>
      <w:r>
        <w:t xml:space="preserve">2.2 Detaillierter Prozessablauf</w:t>
      </w:r>
    </w:p>
    <w:bookmarkEnd w:id="15"/>
    <w:bookmarkStart w:id="16" w:name="ausnahmen-und-fehlerpfade"/>
    <w:p>
      <w:pPr>
        <w:pStyle w:val="berschrift3"/>
      </w:pPr>
      <w:r>
        <w:rPr>
          <w:rStyle w:val="SectionNumber"/>
        </w:rPr>
        <w:t xml:space="preserve">1.2.3</w:t>
      </w:r>
      <w:r>
        <w:tab/>
      </w:r>
      <w:r>
        <w:t xml:space="preserve">2.3 Ausnahmen und Fehlerpfade</w:t>
      </w:r>
    </w:p>
    <w:bookmarkEnd w:id="16"/>
    <w:bookmarkEnd w:id="17"/>
    <w:bookmarkStart w:id="21" w:name="domain-impact-analyse"/>
    <w:p>
      <w:pPr>
        <w:pStyle w:val="berschrift2"/>
      </w:pPr>
      <w:r>
        <w:rPr>
          <w:rStyle w:val="SectionNumber"/>
        </w:rPr>
        <w:t xml:space="preserve">1.3</w:t>
      </w:r>
      <w:r>
        <w:tab/>
      </w:r>
      <w:r>
        <w:t xml:space="preserve">3. Domain-Impact-Analyse</w:t>
      </w:r>
    </w:p>
    <w:bookmarkStart w:id="18" w:name="betroffene-domänen-und-teams"/>
    <w:p>
      <w:pPr>
        <w:pStyle w:val="berschrift3"/>
      </w:pPr>
      <w:r>
        <w:rPr>
          <w:rStyle w:val="SectionNumber"/>
        </w:rPr>
        <w:t xml:space="preserve">1.3.1</w:t>
      </w:r>
      <w:r>
        <w:tab/>
      </w:r>
      <w:r>
        <w:t xml:space="preserve">3.1 Betroffene Domänen und Teams</w:t>
      </w:r>
    </w:p>
    <w:bookmarkEnd w:id="18"/>
    <w:bookmarkStart w:id="19" w:name="auswirkungen-auf-bestehende-prozesse"/>
    <w:p>
      <w:pPr>
        <w:pStyle w:val="berschrift3"/>
      </w:pPr>
      <w:r>
        <w:rPr>
          <w:rStyle w:val="SectionNumber"/>
        </w:rPr>
        <w:t xml:space="preserve">1.3.2</w:t>
      </w:r>
      <w:r>
        <w:tab/>
      </w:r>
      <w:r>
        <w:t xml:space="preserve">3.2 Auswirkungen auf bestehende Prozesse</w:t>
      </w:r>
    </w:p>
    <w:bookmarkEnd w:id="19"/>
    <w:bookmarkStart w:id="20" w:name="X91cbbc70d33dc5197a059c613709e81324f505a"/>
    <w:p>
      <w:pPr>
        <w:pStyle w:val="berschrift3"/>
      </w:pPr>
      <w:r>
        <w:rPr>
          <w:rStyle w:val="SectionNumber"/>
        </w:rPr>
        <w:t xml:space="preserve">1.3.3</w:t>
      </w:r>
      <w:r>
        <w:tab/>
      </w:r>
      <w:r>
        <w:t xml:space="preserve">3.3 Auswirkungen auf Compliance und Governance</w:t>
      </w:r>
    </w:p>
    <w:bookmarkEnd w:id="20"/>
    <w:bookmarkEnd w:id="21"/>
    <w:bookmarkStart w:id="25" w:name="systeme-und-schnittstellen"/>
    <w:p>
      <w:pPr>
        <w:pStyle w:val="berschrift2"/>
      </w:pPr>
      <w:r>
        <w:rPr>
          <w:rStyle w:val="SectionNumber"/>
        </w:rPr>
        <w:t xml:space="preserve">1.4</w:t>
      </w:r>
      <w:r>
        <w:tab/>
      </w:r>
      <w:r>
        <w:t xml:space="preserve">4. Systeme und Schnittstellen</w:t>
      </w:r>
    </w:p>
    <w:bookmarkStart w:id="22" w:name="betroffene-systeme"/>
    <w:p>
      <w:pPr>
        <w:pStyle w:val="berschrift3"/>
      </w:pPr>
      <w:r>
        <w:rPr>
          <w:rStyle w:val="SectionNumber"/>
        </w:rPr>
        <w:t xml:space="preserve">1.4.1</w:t>
      </w:r>
      <w:r>
        <w:tab/>
      </w:r>
      <w:r>
        <w:t xml:space="preserve">4.1 Betroffene Systeme</w:t>
      </w:r>
    </w:p>
    <w:bookmarkEnd w:id="22"/>
    <w:bookmarkStart w:id="23" w:name="schnittstellen-und-datenflüsse"/>
    <w:p>
      <w:pPr>
        <w:pStyle w:val="berschrift3"/>
      </w:pPr>
      <w:r>
        <w:rPr>
          <w:rStyle w:val="SectionNumber"/>
        </w:rPr>
        <w:t xml:space="preserve">1.4.2</w:t>
      </w:r>
      <w:r>
        <w:tab/>
      </w:r>
      <w:r>
        <w:t xml:space="preserve">4.2 Schnittstellen und Datenflüsse</w:t>
      </w:r>
    </w:p>
    <w:bookmarkEnd w:id="23"/>
    <w:bookmarkStart w:id="24" w:name="abhängigkeiten-zu-drittsystemen"/>
    <w:p>
      <w:pPr>
        <w:pStyle w:val="berschrift3"/>
      </w:pPr>
      <w:r>
        <w:rPr>
          <w:rStyle w:val="SectionNumber"/>
        </w:rPr>
        <w:t xml:space="preserve">1.4.3</w:t>
      </w:r>
      <w:r>
        <w:tab/>
      </w:r>
      <w:r>
        <w:t xml:space="preserve">4.3 Abhängigkeiten zu Drittsystemen</w:t>
      </w:r>
    </w:p>
    <w:bookmarkEnd w:id="24"/>
    <w:bookmarkEnd w:id="25"/>
    <w:bookmarkStart w:id="29" w:name="lösungsentscheidung-make-or-buy"/>
    <w:p>
      <w:pPr>
        <w:pStyle w:val="berschrift2"/>
      </w:pPr>
      <w:r>
        <w:rPr>
          <w:rStyle w:val="SectionNumber"/>
        </w:rPr>
        <w:t xml:space="preserve">1.5</w:t>
      </w:r>
      <w:r>
        <w:tab/>
      </w:r>
      <w:r>
        <w:t xml:space="preserve">5. Lösungsentscheidung (Make-or-Buy)</w:t>
      </w:r>
    </w:p>
    <w:bookmarkStart w:id="26" w:name="bewertete-optionen"/>
    <w:p>
      <w:pPr>
        <w:pStyle w:val="berschrift3"/>
      </w:pPr>
      <w:r>
        <w:rPr>
          <w:rStyle w:val="SectionNumber"/>
        </w:rPr>
        <w:t xml:space="preserve">1.5.1</w:t>
      </w:r>
      <w:r>
        <w:tab/>
      </w:r>
      <w:r>
        <w:t xml:space="preserve">5.1 Bewertete Optionen</w:t>
      </w:r>
    </w:p>
    <w:bookmarkEnd w:id="26"/>
    <w:bookmarkStart w:id="27" w:name="entscheidungskriterien"/>
    <w:p>
      <w:pPr>
        <w:pStyle w:val="berschrift3"/>
      </w:pPr>
      <w:r>
        <w:rPr>
          <w:rStyle w:val="SectionNumber"/>
        </w:rPr>
        <w:t xml:space="preserve">1.5.2</w:t>
      </w:r>
      <w:r>
        <w:tab/>
      </w:r>
      <w:r>
        <w:t xml:space="preserve">5.2 Entscheidungskriterien</w:t>
      </w:r>
    </w:p>
    <w:bookmarkEnd w:id="27"/>
    <w:bookmarkStart w:id="28" w:name="getroffene-entscheidung-inkl.-begründung"/>
    <w:p>
      <w:pPr>
        <w:pStyle w:val="berschrift3"/>
      </w:pPr>
      <w:r>
        <w:rPr>
          <w:rStyle w:val="SectionNumber"/>
        </w:rPr>
        <w:t xml:space="preserve">1.5.3</w:t>
      </w:r>
      <w:r>
        <w:tab/>
      </w:r>
      <w:r>
        <w:t xml:space="preserve">5.3 Getroffene Entscheidung inkl. Begründung</w:t>
      </w:r>
    </w:p>
    <w:bookmarkEnd w:id="28"/>
    <w:bookmarkEnd w:id="29"/>
    <w:bookmarkStart w:id="33" w:name="infrastruktur--und-betriebsanforderungen"/>
    <w:p>
      <w:pPr>
        <w:pStyle w:val="berschrift2"/>
      </w:pPr>
      <w:r>
        <w:rPr>
          <w:rStyle w:val="SectionNumber"/>
        </w:rPr>
        <w:t xml:space="preserve">1.6</w:t>
      </w:r>
      <w:r>
        <w:tab/>
      </w:r>
      <w:r>
        <w:t xml:space="preserve">6. Infrastruktur- und Betriebsanforderungen</w:t>
      </w:r>
    </w:p>
    <w:bookmarkStart w:id="30" w:name="infrastruktur-anforderungen"/>
    <w:p>
      <w:pPr>
        <w:pStyle w:val="berschrift3"/>
      </w:pPr>
      <w:r>
        <w:rPr>
          <w:rStyle w:val="SectionNumber"/>
        </w:rPr>
        <w:t xml:space="preserve">1.6.1</w:t>
      </w:r>
      <w:r>
        <w:tab/>
      </w:r>
      <w:r>
        <w:t xml:space="preserve">6.1 Infrastruktur-Anforderungen</w:t>
      </w:r>
    </w:p>
    <w:bookmarkEnd w:id="30"/>
    <w:bookmarkStart w:id="31" w:name="sicherheitsanforderungen"/>
    <w:p>
      <w:pPr>
        <w:pStyle w:val="berschrift3"/>
      </w:pPr>
      <w:r>
        <w:rPr>
          <w:rStyle w:val="SectionNumber"/>
        </w:rPr>
        <w:t xml:space="preserve">1.6.2</w:t>
      </w:r>
      <w:r>
        <w:tab/>
      </w:r>
      <w:r>
        <w:t xml:space="preserve">6.2 Sicherheitsanforderungen</w:t>
      </w:r>
    </w:p>
    <w:bookmarkEnd w:id="31"/>
    <w:bookmarkStart w:id="32" w:name="betriebs--und-supportmodell"/>
    <w:p>
      <w:pPr>
        <w:pStyle w:val="berschrift3"/>
      </w:pPr>
      <w:r>
        <w:rPr>
          <w:rStyle w:val="SectionNumber"/>
        </w:rPr>
        <w:t xml:space="preserve">1.6.3</w:t>
      </w:r>
      <w:r>
        <w:tab/>
      </w:r>
      <w:r>
        <w:t xml:space="preserve">6.3 Betriebs- und Supportmodell</w:t>
      </w:r>
    </w:p>
    <w:bookmarkEnd w:id="32"/>
    <w:bookmarkEnd w:id="33"/>
    <w:bookmarkStart w:id="37" w:name="aufwand-planung-und-risiken"/>
    <w:p>
      <w:pPr>
        <w:pStyle w:val="berschrift2"/>
      </w:pPr>
      <w:r>
        <w:rPr>
          <w:rStyle w:val="SectionNumber"/>
        </w:rPr>
        <w:t xml:space="preserve">1.7</w:t>
      </w:r>
      <w:r>
        <w:tab/>
      </w:r>
      <w:r>
        <w:t xml:space="preserve">7. Aufwand, Planung und Risiken</w:t>
      </w:r>
    </w:p>
    <w:bookmarkStart w:id="34" w:name="aufwandsschätzung-fachbereichit"/>
    <w:p>
      <w:pPr>
        <w:pStyle w:val="berschrift3"/>
      </w:pPr>
      <w:r>
        <w:rPr>
          <w:rStyle w:val="SectionNumber"/>
        </w:rPr>
        <w:t xml:space="preserve">1.7.1</w:t>
      </w:r>
      <w:r>
        <w:tab/>
      </w:r>
      <w:r>
        <w:t xml:space="preserve">7.1 Aufwandsschätzung (Fachbereich/IT)</w:t>
      </w:r>
    </w:p>
    <w:bookmarkEnd w:id="34"/>
    <w:bookmarkStart w:id="35" w:name="meilensteine-und-zeitplan"/>
    <w:p>
      <w:pPr>
        <w:pStyle w:val="berschrift3"/>
      </w:pPr>
      <w:r>
        <w:rPr>
          <w:rStyle w:val="SectionNumber"/>
        </w:rPr>
        <w:t xml:space="preserve">1.7.2</w:t>
      </w:r>
      <w:r>
        <w:tab/>
      </w:r>
      <w:r>
        <w:t xml:space="preserve">7.2 Meilensteine und Zeitplan</w:t>
      </w:r>
    </w:p>
    <w:bookmarkEnd w:id="35"/>
    <w:bookmarkStart w:id="36" w:name="projektrisiken-und-gegenmaßnahmen"/>
    <w:p>
      <w:pPr>
        <w:pStyle w:val="berschrift3"/>
      </w:pPr>
      <w:r>
        <w:rPr>
          <w:rStyle w:val="SectionNumber"/>
        </w:rPr>
        <w:t xml:space="preserve">1.7.3</w:t>
      </w:r>
      <w:r>
        <w:tab/>
      </w:r>
      <w:r>
        <w:t xml:space="preserve">7.3 Projektrisiken und Gegenmaßnahmen</w:t>
      </w:r>
    </w:p>
    <w:bookmarkEnd w:id="36"/>
    <w:bookmarkEnd w:id="37"/>
    <w:bookmarkStart w:id="41" w:name="abnahmekriterien"/>
    <w:p>
      <w:pPr>
        <w:pStyle w:val="berschrift2"/>
      </w:pPr>
      <w:r>
        <w:rPr>
          <w:rStyle w:val="SectionNumber"/>
        </w:rPr>
        <w:t xml:space="preserve">1.8</w:t>
      </w:r>
      <w:r>
        <w:tab/>
      </w:r>
      <w:r>
        <w:t xml:space="preserve">8. Abnahmekriterien</w:t>
      </w:r>
    </w:p>
    <w:bookmarkStart w:id="38" w:name="fachliche-abnahmekriterien"/>
    <w:p>
      <w:pPr>
        <w:pStyle w:val="berschrift3"/>
      </w:pPr>
      <w:r>
        <w:rPr>
          <w:rStyle w:val="SectionNumber"/>
        </w:rPr>
        <w:t xml:space="preserve">1.8.1</w:t>
      </w:r>
      <w:r>
        <w:tab/>
      </w:r>
      <w:r>
        <w:t xml:space="preserve">8.1 Fachliche Abnahmekriterien</w:t>
      </w:r>
    </w:p>
    <w:bookmarkEnd w:id="38"/>
    <w:bookmarkStart w:id="39" w:name="technische-abnahmekriterien"/>
    <w:p>
      <w:pPr>
        <w:pStyle w:val="berschrift3"/>
      </w:pPr>
      <w:r>
        <w:rPr>
          <w:rStyle w:val="SectionNumber"/>
        </w:rPr>
        <w:t xml:space="preserve">1.8.2</w:t>
      </w:r>
      <w:r>
        <w:tab/>
      </w:r>
      <w:r>
        <w:t xml:space="preserve">8.2 Technische Abnahmekriterien</w:t>
      </w:r>
    </w:p>
    <w:bookmarkEnd w:id="39"/>
    <w:bookmarkStart w:id="40" w:name="qualitätskriterien-und-nachweise"/>
    <w:p>
      <w:pPr>
        <w:pStyle w:val="berschrift3"/>
      </w:pPr>
      <w:r>
        <w:rPr>
          <w:rStyle w:val="SectionNumber"/>
        </w:rPr>
        <w:t xml:space="preserve">1.8.3</w:t>
      </w:r>
      <w:r>
        <w:tab/>
      </w:r>
      <w:r>
        <w:t xml:space="preserve">8.3 Qualitätskriterien und Nachweise</w:t>
      </w:r>
    </w:p>
    <w:bookmarkEnd w:id="40"/>
    <w:bookmarkEnd w:id="41"/>
    <w:bookmarkStart w:id="45" w:name="Xef91d62beb376675cc33531be5326f528ccc437"/>
    <w:p>
      <w:pPr>
        <w:pStyle w:val="berschrift2"/>
      </w:pPr>
      <w:r>
        <w:rPr>
          <w:rStyle w:val="SectionNumber"/>
        </w:rPr>
        <w:t xml:space="preserve">1.9</w:t>
      </w:r>
      <w:r>
        <w:tab/>
      </w:r>
      <w:r>
        <w:t xml:space="preserve">9. Testkonzept und Anmerkungen Digitalisierungsteam</w:t>
      </w:r>
    </w:p>
    <w:bookmarkStart w:id="42" w:name="fachliche-testfälle"/>
    <w:p>
      <w:pPr>
        <w:pStyle w:val="berschrift3"/>
      </w:pPr>
      <w:r>
        <w:rPr>
          <w:rStyle w:val="SectionNumber"/>
        </w:rPr>
        <w:t xml:space="preserve">1.9.1</w:t>
      </w:r>
      <w:r>
        <w:tab/>
      </w:r>
      <w:r>
        <w:t xml:space="preserve">9.1 Fachliche Testfälle</w:t>
      </w:r>
    </w:p>
    <w:bookmarkEnd w:id="42"/>
    <w:bookmarkStart w:id="43" w:name="testdaten-und-testvoraussetzungen"/>
    <w:p>
      <w:pPr>
        <w:pStyle w:val="berschrift3"/>
      </w:pPr>
      <w:r>
        <w:rPr>
          <w:rStyle w:val="SectionNumber"/>
        </w:rPr>
        <w:t xml:space="preserve">1.9.2</w:t>
      </w:r>
      <w:r>
        <w:tab/>
      </w:r>
      <w:r>
        <w:t xml:space="preserve">9.2 Testdaten und Testvoraussetzungen</w:t>
      </w:r>
    </w:p>
    <w:bookmarkEnd w:id="43"/>
    <w:bookmarkStart w:id="44" w:name="anmerkungen-digitalisierungsteam"/>
    <w:p>
      <w:pPr>
        <w:pStyle w:val="berschrift3"/>
      </w:pPr>
      <w:r>
        <w:rPr>
          <w:rStyle w:val="SectionNumber"/>
        </w:rPr>
        <w:t xml:space="preserve">1.9.3</w:t>
      </w:r>
      <w:r>
        <w:tab/>
      </w:r>
      <w:r>
        <w:t xml:space="preserve">9.3 Anmerkungen Digitalisierungsteam</w:t>
      </w:r>
    </w:p>
    <w:bookmarkEnd w:id="44"/>
    <w:bookmarkEnd w:id="45"/>
    <w:bookmarkEnd w:id="46"/>
    <w:sectPr w:rsidR="00D565DD" w:rsidRPr="00D565DD"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efaultTableStyle w:val="TabellemithellemGitternetz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7"/>
    <w:rsid w:val="00036938"/>
    <w:rsid w:val="00250AC3"/>
    <w:rsid w:val="002B415D"/>
    <w:rsid w:val="0034138C"/>
    <w:rsid w:val="003B5297"/>
    <w:rsid w:val="003F44A2"/>
    <w:rsid w:val="005575F1"/>
    <w:rsid w:val="005E67DB"/>
    <w:rsid w:val="00670181"/>
    <w:rsid w:val="00686DAA"/>
    <w:rsid w:val="008E1BB5"/>
    <w:rsid w:val="00915692"/>
    <w:rsid w:val="00BE4C0E"/>
    <w:rsid w:val="00D565DD"/>
    <w:rsid w:val="00EC16F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de-DE"/>
      </w:rPr>
    </w:rPrDefault>
    <w:pPrDefault>
      <w:pPr>
        <w:spacing w:after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D565DD"/>
  </w:style>
  <w:style w:styleId="berschrift1" w:type="paragraph">
    <w:name w:val="heading 1"/>
    <w:basedOn w:val="Standard"/>
    <w:next w:val="Standard"/>
    <w:link w:val="berschrift1Zchn"/>
    <w:uiPriority w:val="9"/>
    <w:qFormat/>
    <w:rsid w:val="003B5297"/>
    <w:pPr>
      <w:keepNext/>
      <w:keepLines/>
      <w:pBdr>
        <w:bottom w:color="156082" w:space="1" w:sz="4" w:themeColor="accent1" w:val="single"/>
      </w:pBdr>
      <w:spacing w:after="240" w:before="480" w:line="240" w:lineRule="auto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B5297"/>
    <w:pPr>
      <w:keepNext/>
      <w:keepLines/>
      <w:spacing w:after="0" w:before="160" w:line="240" w:lineRule="auto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3B5297"/>
    <w:pPr>
      <w:keepNext/>
      <w:keepLines/>
      <w:spacing w:after="60" w:before="240" w:line="240" w:lineRule="auto"/>
      <w:outlineLvl w:val="2"/>
    </w:pPr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3B5297"/>
    <w:pPr>
      <w:keepNext/>
      <w:keepLines/>
      <w:spacing w:after="40" w:before="160"/>
      <w:outlineLvl w:val="3"/>
    </w:pPr>
    <w:rPr>
      <w:rFonts w:asciiTheme="majorHAnsi" w:cstheme="majorBidi" w:eastAsiaTheme="majorEastAsia" w:hAnsiTheme="majorHAnsi"/>
      <w:b/>
      <w:sz w:val="24"/>
      <w:szCs w:val="24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rsid w:val="00D565DD"/>
    <w:pPr>
      <w:keepNext/>
      <w:keepLines/>
      <w:spacing w:after="0" w:before="80"/>
      <w:outlineLvl w:val="4"/>
    </w:pPr>
    <w:rPr>
      <w:rFonts w:asciiTheme="majorHAnsi" w:cstheme="majorBidi" w:eastAsiaTheme="majorEastAsia" w:hAnsiTheme="majorHAnsi"/>
      <w:i/>
      <w:iCs/>
      <w:sz w:val="22"/>
      <w:szCs w:val="22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D565DD"/>
    <w:pPr>
      <w:keepNext/>
      <w:keepLines/>
      <w:spacing w:after="0" w:before="80"/>
      <w:outlineLvl w:val="5"/>
    </w:pPr>
    <w:rPr>
      <w:rFonts w:asciiTheme="majorHAnsi" w:cstheme="majorBidi" w:eastAsiaTheme="majorEastAsia" w:hAnsiTheme="majorHAnsi"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D565DD"/>
    <w:pPr>
      <w:keepNext/>
      <w:keepLines/>
      <w:spacing w:after="0" w:before="80"/>
      <w:outlineLvl w:val="6"/>
    </w:pPr>
    <w:rPr>
      <w:rFonts w:asciiTheme="majorHAnsi" w:cstheme="majorBidi" w:eastAsiaTheme="majorEastAsia" w:hAnsiTheme="majorHAnsi"/>
      <w:i/>
      <w:iCs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D565DD"/>
    <w:pPr>
      <w:keepNext/>
      <w:keepLines/>
      <w:spacing w:after="0" w:before="80"/>
      <w:outlineLvl w:val="7"/>
    </w:pPr>
    <w:rPr>
      <w:rFonts w:asciiTheme="majorHAnsi" w:cstheme="majorBidi" w:eastAsiaTheme="majorEastAsia" w:hAnsiTheme="majorHAnsi"/>
      <w:smallCaps/>
      <w:color w:themeColor="text1" w:themeTint="A6" w:val="595959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D565DD"/>
    <w:pPr>
      <w:keepNext/>
      <w:keepLines/>
      <w:spacing w:after="0" w:before="80"/>
      <w:outlineLvl w:val="8"/>
    </w:pPr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3B5297"/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3B5297"/>
    <w:rPr>
      <w:rFonts w:asciiTheme="majorHAnsi" w:cstheme="majorBidi" w:eastAsiaTheme="majorEastAsia" w:hAnsiTheme="majorHAnsi"/>
      <w:b/>
      <w:sz w:val="24"/>
      <w:szCs w:val="24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D565DD"/>
    <w:rPr>
      <w:rFonts w:asciiTheme="majorHAnsi" w:cstheme="majorBidi" w:eastAsiaTheme="majorEastAsia" w:hAnsiTheme="majorHAnsi"/>
      <w:i/>
      <w:iCs/>
      <w:sz w:val="22"/>
      <w:szCs w:val="22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D565DD"/>
    <w:rPr>
      <w:rFonts w:asciiTheme="majorHAnsi" w:cstheme="majorBidi" w:eastAsiaTheme="majorEastAsia" w:hAnsiTheme="majorHAnsi"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D565DD"/>
    <w:rPr>
      <w:rFonts w:asciiTheme="majorHAnsi" w:cstheme="majorBidi" w:eastAsiaTheme="majorEastAsia" w:hAnsiTheme="majorHAnsi"/>
      <w:i/>
      <w:iCs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D565DD"/>
    <w:rPr>
      <w:rFonts w:asciiTheme="majorHAnsi" w:cstheme="majorBidi" w:eastAsiaTheme="majorEastAsia" w:hAnsiTheme="majorHAnsi"/>
      <w:smallCaps/>
      <w:color w:themeColor="text1" w:themeTint="A6" w:val="595959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D565DD"/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styleId="Titel" w:type="paragraph">
    <w:name w:val="Title"/>
    <w:basedOn w:val="Standard"/>
    <w:next w:val="Standard"/>
    <w:link w:val="TitelZchn"/>
    <w:uiPriority w:val="10"/>
    <w:qFormat/>
    <w:rsid w:val="00D565DD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customStyle="1" w:styleId="TitelZchn" w:type="character">
    <w:name w:val="Titel Zchn"/>
    <w:basedOn w:val="Absatz-Standardschriftart"/>
    <w:link w:val="Titel"/>
    <w:uiPriority w:val="10"/>
    <w:rsid w:val="00D565DD"/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D565DD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D565DD"/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styleId="Zitat" w:type="paragraph">
    <w:name w:val="Quote"/>
    <w:basedOn w:val="Standard"/>
    <w:next w:val="Standard"/>
    <w:link w:val="ZitatZchn"/>
    <w:uiPriority w:val="29"/>
    <w:rsid w:val="00D565DD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ZitatZchn" w:type="character">
    <w:name w:val="Zitat Zchn"/>
    <w:basedOn w:val="Absatz-Standardschriftart"/>
    <w:link w:val="Zitat"/>
    <w:uiPriority w:val="29"/>
    <w:rsid w:val="00D565DD"/>
    <w:rPr>
      <w:i/>
      <w:iCs/>
    </w:rPr>
  </w:style>
  <w:style w:styleId="Listenabsatz" w:type="paragraph">
    <w:name w:val="List Paragraph"/>
    <w:basedOn w:val="Standard"/>
    <w:uiPriority w:val="34"/>
    <w:rsid w:val="005E67DB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rsid w:val="00D565DD"/>
    <w:rPr>
      <w:b/>
      <w:bCs/>
      <w:i/>
      <w:iCs/>
    </w:rPr>
  </w:style>
  <w:style w:styleId="IntensivesZitat" w:type="paragraph">
    <w:name w:val="Intense Quote"/>
    <w:basedOn w:val="Standard"/>
    <w:next w:val="Standard"/>
    <w:link w:val="IntensivesZitatZchn"/>
    <w:uiPriority w:val="30"/>
    <w:rsid w:val="00D565DD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D565DD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IntensiverVerweis" w:type="character">
    <w:name w:val="Intense Reference"/>
    <w:basedOn w:val="Absatz-Standardschriftart"/>
    <w:uiPriority w:val="32"/>
    <w:rsid w:val="00D565DD"/>
    <w:rPr>
      <w:b/>
      <w:bCs/>
      <w:smallCaps/>
      <w:u w:val="single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D565DD"/>
    <w:pPr>
      <w:spacing w:line="240" w:lineRule="auto"/>
    </w:pPr>
    <w:rPr>
      <w:b/>
      <w:bCs/>
      <w:color w:themeColor="text1" w:themeTint="BF" w:val="404040"/>
      <w:sz w:val="20"/>
      <w:szCs w:val="20"/>
    </w:rPr>
  </w:style>
  <w:style w:styleId="Fett" w:type="character">
    <w:name w:val="Strong"/>
    <w:basedOn w:val="Absatz-Standardschriftart"/>
    <w:uiPriority w:val="22"/>
    <w:qFormat/>
    <w:rsid w:val="00D565DD"/>
    <w:rPr>
      <w:b/>
      <w:bCs/>
    </w:rPr>
  </w:style>
  <w:style w:styleId="Hervorhebung" w:type="character">
    <w:name w:val="Emphasis"/>
    <w:basedOn w:val="Absatz-Standardschriftart"/>
    <w:uiPriority w:val="20"/>
    <w:rsid w:val="00D565DD"/>
    <w:rPr>
      <w:i/>
      <w:iCs/>
    </w:rPr>
  </w:style>
  <w:style w:styleId="KeinLeerraum" w:type="paragraph">
    <w:name w:val="No Spacing"/>
    <w:uiPriority w:val="1"/>
    <w:rsid w:val="00D565DD"/>
    <w:pPr>
      <w:spacing w:after="0" w:line="240" w:lineRule="auto"/>
    </w:pPr>
  </w:style>
  <w:style w:styleId="SchwacheHervorhebung" w:type="character">
    <w:name w:val="Subtle Emphasis"/>
    <w:basedOn w:val="Absatz-Standardschriftart"/>
    <w:uiPriority w:val="19"/>
    <w:rsid w:val="00D565DD"/>
    <w:rPr>
      <w:i/>
      <w:iCs/>
      <w:color w:themeColor="text1" w:themeTint="A6" w:val="595959"/>
    </w:rPr>
  </w:style>
  <w:style w:styleId="SchwacherVerweis" w:type="character">
    <w:name w:val="Subtle Reference"/>
    <w:basedOn w:val="Absatz-Standardschriftart"/>
    <w:uiPriority w:val="31"/>
    <w:rsid w:val="00D565DD"/>
    <w:rPr>
      <w:smallCaps/>
      <w:color w:themeColor="text1" w:themeTint="BF" w:val="404040"/>
    </w:rPr>
  </w:style>
  <w:style w:styleId="Buchtitel" w:type="character">
    <w:name w:val="Book Title"/>
    <w:basedOn w:val="Absatz-Standardschriftart"/>
    <w:uiPriority w:val="33"/>
    <w:rsid w:val="00D565DD"/>
    <w:rPr>
      <w:b/>
      <w:bCs/>
      <w:smallCaps/>
    </w:rPr>
  </w:style>
  <w:style w:styleId="Inhaltsverzeichnisberschrift" w:type="paragraph">
    <w:name w:val="TOC Heading"/>
    <w:basedOn w:val="berschrift1"/>
    <w:next w:val="Standard"/>
    <w:uiPriority w:val="39"/>
    <w:unhideWhenUsed/>
    <w:rsid w:val="00D565DD"/>
    <w:pPr>
      <w:outlineLvl w:val="9"/>
    </w:pPr>
  </w:style>
  <w:style w:customStyle="1" w:styleId="Konzept" w:type="paragraph">
    <w:name w:val="Konzept"/>
    <w:basedOn w:val="Standard"/>
    <w:link w:val="KonzeptZchn"/>
    <w:rsid w:val="00D565DD"/>
    <w:rPr>
      <w:lang w:val="de-AT"/>
    </w:rPr>
  </w:style>
  <w:style w:customStyle="1" w:styleId="KonzeptZchn" w:type="character">
    <w:name w:val="Konzept Zchn"/>
    <w:basedOn w:val="Absatz-Standardschriftart"/>
    <w:link w:val="Konzept"/>
    <w:rsid w:val="00D565DD"/>
    <w:rPr>
      <w:lang w:val="de-AT"/>
    </w:rPr>
  </w:style>
  <w:style w:styleId="Tabellenraster" w:type="table">
    <w:name w:val="Table Grid"/>
    <w:basedOn w:val="NormaleTabelle"/>
    <w:uiPriority w:val="39"/>
    <w:rsid w:val="000369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Kopfzeile" w:type="paragraph">
    <w:name w:val="header"/>
    <w:basedOn w:val="Standard"/>
    <w:link w:val="Kopf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036938"/>
  </w:style>
  <w:style w:styleId="Fuzeile" w:type="paragraph">
    <w:name w:val="footer"/>
    <w:basedOn w:val="Standard"/>
    <w:link w:val="Fu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036938"/>
  </w:style>
  <w:style w:styleId="Verzeichnis1" w:type="paragraph">
    <w:name w:val="toc 1"/>
    <w:basedOn w:val="Standard"/>
    <w:next w:val="Standard"/>
    <w:autoRedefine/>
    <w:uiPriority w:val="39"/>
    <w:unhideWhenUsed/>
    <w:rsid w:val="00036938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036938"/>
    <w:pPr>
      <w:spacing w:after="100"/>
      <w:ind w:left="210"/>
    </w:pPr>
  </w:style>
  <w:style w:styleId="Verzeichnis3" w:type="paragraph">
    <w:name w:val="toc 3"/>
    <w:basedOn w:val="Standard"/>
    <w:next w:val="Standard"/>
    <w:autoRedefine/>
    <w:uiPriority w:val="39"/>
    <w:unhideWhenUsed/>
    <w:rsid w:val="00036938"/>
    <w:pPr>
      <w:spacing w:after="100"/>
      <w:ind w:left="420"/>
    </w:pPr>
  </w:style>
  <w:style w:styleId="Hyperlink" w:type="character">
    <w:name w:val="Hyperlink"/>
    <w:basedOn w:val="Absatz-Standardschriftart"/>
    <w:uiPriority w:val="99"/>
    <w:unhideWhenUsed/>
    <w:rsid w:val="00036938"/>
    <w:rPr>
      <w:color w:themeColor="hyperlink" w:val="467886"/>
      <w:u w:val="single"/>
    </w:rPr>
  </w:style>
  <w:style w:styleId="TabellemithellemGitternetz" w:type="table">
    <w:name w:val="Grid Table Light"/>
    <w:basedOn w:val="NormaleTabelle"/>
    <w:uiPriority w:val="40"/>
    <w:rsid w:val="00BE4C0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1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2026-03-30T09:32:32Z</dcterms:created>
  <dcterms:modified xsi:type="dcterms:W3CDTF">2026-03-30T09:32:32Z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