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b/>
          <w:bCs/>
          <w:color w:val="1E3A5F"/>
          <w:sz w:val="56"/>
          <w:szCs w:val="56"/>
        </w:rPr>
        <w:t xml:space="preserve">Limbo.Umbraco.AI</w:t>
      </w:r>
    </w:p>
    <w:p>
      <w:pPr>
        <w:spacing w:after="60"/>
      </w:pPr>
      <w:r>
        <w:rPr>
          <w:rFonts w:ascii="Arial" w:cs="Arial" w:eastAsia="Arial" w:hAnsi="Arial"/>
          <w:color w:val="2E75B6"/>
          <w:sz w:val="30"/>
          <w:szCs w:val="30"/>
        </w:rPr>
        <w:t xml:space="preserve">Live Demo Script &amp; Talking Track</w:t>
      </w:r>
    </w:p>
    <w:p>
      <w:pPr>
        <w:spacing w:after="400"/>
      </w:pPr>
      <w:r>
        <w:rPr>
          <w:rFonts w:ascii="Arial" w:cs="Arial" w:eastAsia="Arial" w:hAnsi="Arial"/>
          <w:i/>
          <w:iCs/>
          <w:color w:val="555555"/>
          <w:sz w:val="22"/>
          <w:szCs w:val="22"/>
        </w:rPr>
        <w:t xml:space="preserve">For showcasing the AI feature set to the Limbo team</w:t>
      </w:r>
    </w:p>
    <w:p>
      <w:pPr>
        <w:spacing w:after="60" w:before="0"/>
      </w:pPr>
      <w:r>
        <w:rPr>
          <w:rFonts w:ascii="Arial" w:cs="Arial" w:eastAsia="Arial" w:hAnsi="Arial"/>
          <w:b/>
          <w:bCs/>
          <w:color w:val="1E3A5F"/>
          <w:sz w:val="20"/>
          <w:szCs w:val="20"/>
        </w:rPr>
        <w:t xml:space="preserve">How to use this script  </w:t>
      </w:r>
    </w:p>
    <w:p>
      <w:pPr>
        <w:spacing w:after="100" w:before="0"/>
      </w:pPr>
      <w:r>
        <w:rPr>
          <w:rFonts w:ascii="Arial" w:cs="Arial" w:eastAsia="Arial" w:hAnsi="Arial"/>
          <w:b/>
          <w:bCs/>
          <w:color w:val="0D47A1"/>
          <w:sz w:val="20"/>
          <w:szCs w:val="20"/>
        </w:rPr>
        <w:t xml:space="preserve">SHOW</w:t>
      </w:r>
      <w:r>
        <w:rPr>
          <w:rFonts w:ascii="Arial" w:cs="Arial" w:eastAsia="Arial" w:hAnsi="Arial"/>
          <w:color w:val="1A1A1A"/>
          <w:sz w:val="22"/>
          <w:szCs w:val="22"/>
        </w:rPr>
        <w:t xml:space="preserve">  = click this now.   </w:t>
      </w:r>
      <w:r>
        <w:rPr>
          <w:rFonts w:ascii="Arial" w:cs="Arial" w:eastAsia="Arial" w:hAnsi="Arial"/>
          <w:b/>
          <w:bCs/>
          <w:color w:val="1B5E20"/>
          <w:sz w:val="20"/>
          <w:szCs w:val="20"/>
        </w:rPr>
        <w:t xml:space="preserve">SAY</w:t>
      </w:r>
      <w:r>
        <w:rPr>
          <w:rFonts w:ascii="Arial" w:cs="Arial" w:eastAsia="Arial" w:hAnsi="Arial"/>
          <w:color w:val="1A1A1A"/>
          <w:sz w:val="22"/>
          <w:szCs w:val="22"/>
        </w:rPr>
        <w:t xml:space="preserve">  = a line you can read or paraphrase aloud.   </w:t>
      </w:r>
      <w:r>
        <w:rPr>
          <w:rFonts w:ascii="Arial" w:cs="Arial" w:eastAsia="Arial" w:hAnsi="Arial"/>
          <w:b/>
          <w:bCs/>
          <w:color w:val="B45309"/>
          <w:sz w:val="20"/>
          <w:szCs w:val="20"/>
        </w:rPr>
        <w:t xml:space="preserve">NOTE</w:t>
      </w:r>
      <w:r>
        <w:rPr>
          <w:rFonts w:ascii="Arial" w:cs="Arial" w:eastAsia="Arial" w:hAnsi="Arial"/>
          <w:color w:val="1A1A1A"/>
          <w:sz w:val="22"/>
          <w:szCs w:val="22"/>
        </w:rPr>
        <w:t xml:space="preserve">  = background for you, not meant to be read verbatim.</w:t>
      </w:r>
    </w:p>
    <w:p>
      <w:pPr>
        <w:spacing w:after="240" w:before="0"/>
      </w:pPr>
      <w:r>
        <w:rPr>
          <w:rFonts w:ascii="Arial" w:cs="Arial" w:eastAsia="Arial" w:hAnsi="Arial"/>
          <w:b/>
          <w:bCs/>
          <w:color w:val="B71C1C"/>
          <w:sz w:val="20"/>
          <w:szCs w:val="20"/>
        </w:rPr>
        <w:t xml:space="preserve">Red boxes</w:t>
      </w:r>
      <w:r>
        <w:rPr>
          <w:rFonts w:ascii="Arial" w:cs="Arial" w:eastAsia="Arial" w:hAnsi="Arial"/>
          <w:color w:val="1A1A1A"/>
          <w:sz w:val="22"/>
          <w:szCs w:val="22"/>
        </w:rPr>
        <w:t xml:space="preserve"> mark places where the current test-site state differs from what will ship when this package is published — call these out proactively rather than waiting to be asked.</w:t>
      </w:r>
    </w:p>
    <w:p>
      <w:pPr>
        <w:pBdr>
          <w:bottom w:val="single" w:color="B8D4E8" w:sz="4" w:space="1"/>
        </w:pBdr>
        <w:spacing w:after="120" w:before="12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0. Before you start</w:t>
      </w:r>
    </w:p>
    <w:p>
      <w:pPr>
        <w:pStyle w:val="ListParagraph"/>
        <w:numPr>
          <w:ilvl w:val="0"/>
          <w:numId w:val="2"/>
        </w:numPr>
        <w:spacing w:after="80"/>
      </w:pPr>
      <w:r>
        <w:rPr>
          <w:rFonts w:ascii="Arial" w:cs="Arial" w:eastAsia="Arial" w:hAnsi="Arial"/>
          <w:color w:val="1A1A1A"/>
          <w:sz w:val="22"/>
          <w:szCs w:val="22"/>
        </w:rPr>
        <w:t xml:space="preserve">Site running at https://localhost:44392 — you already verified a clean install and full checklist pass.</w:t>
      </w:r>
    </w:p>
    <w:p>
      <w:pPr>
        <w:pStyle w:val="ListParagraph"/>
        <w:numPr>
          <w:ilvl w:val="0"/>
          <w:numId w:val="2"/>
        </w:numPr>
        <w:spacing w:after="80"/>
      </w:pPr>
      <w:r>
        <w:rPr>
          <w:rFonts w:ascii="Arial" w:cs="Arial" w:eastAsia="Arial" w:hAnsi="Arial"/>
          <w:color w:val="1A1A1A"/>
          <w:sz w:val="22"/>
          <w:szCs w:val="22"/>
        </w:rPr>
        <w:t xml:space="preserve">Logged in as admin@test.local.</w:t>
      </w:r>
    </w:p>
    <w:p>
      <w:pPr>
        <w:pStyle w:val="ListParagraph"/>
        <w:numPr>
          <w:ilvl w:val="0"/>
          <w:numId w:val="2"/>
        </w:numPr>
        <w:spacing w:after="80"/>
      </w:pPr>
      <w:r>
        <w:rPr>
          <w:rFonts w:ascii="Arial" w:cs="Arial" w:eastAsia="Arial" w:hAnsi="Arial"/>
          <w:color w:val="1A1A1A"/>
          <w:sz w:val="22"/>
          <w:szCs w:val="22"/>
        </w:rPr>
        <w:t xml:space="preserve">Have a short .docx ready to upload for the Import Document demo (title + a couple of paragraphs + one image works well).</w:t>
      </w:r>
    </w:p>
    <w:p>
      <w:pPr>
        <w:pStyle w:val="ListParagraph"/>
        <w:numPr>
          <w:ilvl w:val="0"/>
          <w:numId w:val="2"/>
        </w:numPr>
        <w:spacing w:after="80"/>
      </w:pPr>
      <w:r>
        <w:rPr>
          <w:rFonts w:ascii="Arial" w:cs="Arial" w:eastAsia="Arial" w:hAnsi="Arial"/>
          <w:color w:val="1A1A1A"/>
          <w:sz w:val="22"/>
          <w:szCs w:val="22"/>
        </w:rPr>
        <w:t xml:space="preserve">Know which two seeded articles you'll use for the Migration Assistant demo (e.g. "Kom godt i gang med Umbraco AI" and "Tips til indholdsstrategi").</w:t>
      </w:r>
    </w:p>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1. Opening — the AI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Left-hand section rail → click the "…" overflow icon → select "AI".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“Everything under this AI section — Connections, Profiles, Contexts, Prompts, Agents — isn't something we built by hand. It's a full Umbraco backoffice section that Umbraco.AI, the underlying framework, registers automatically the first time the package boots.”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“What Limbo actually built is narrower and more specific: a Google Gemini provider so this framework can talk to Gemini instead of OpenAI, plus two editor-facing features of our own — Import Document and Translate Node — which live as tabs on content nodes, not in this AI section at all. I'll show those last.”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00"/>
              <w:left w:type="dxa" w:w="200"/>
              <w:bottom w:type="dxa" w:w="100"/>
              <w:right w:type="dxa" w:w="200"/>
            </w:tcMar>
          </w:tcPr>
          <w:p>
            <w:r>
              <w:rPr>
                <w:rFonts w:ascii="Arial" w:cs="Arial" w:eastAsia="Arial" w:hAnsi="Arial"/>
                <w:b/>
                <w:bCs/>
                <w:color w:val="B45309"/>
                <w:sz w:val="20"/>
                <w:szCs w:val="20"/>
              </w:rPr>
              <w:t xml:space="preserve">NOTE   </w:t>
            </w:r>
            <w:r>
              <w:rPr>
                <w:rFonts w:ascii="Arial" w:cs="Arial" w:eastAsia="Arial" w:hAnsi="Arial"/>
                <w:color w:val="1A1A1A"/>
                <w:sz w:val="20"/>
                <w:szCs w:val="20"/>
              </w:rPr>
              <w:t xml:space="preserve">Drawing this line early avoids the natural assumption that Limbo built the whole AI section from scratch. Umbraco.AI is a separate package (also Limbo-authored, but a distinct product); Limbo.Umbraco.AI is the thin adapter plus the two content-editor features.</w:t>
            </w:r>
          </w:p>
        </w:tc>
      </w:tr>
    </w:tbl>
    <w:p>
      <w:pPr>
        <w:spacing w:after="80" w:before="0"/>
      </w:pPr>
      <w:r>
        <w:t xml:space="preserve"/>
      </w:r>
    </w:p>
    <w:p>
      <w:pPr>
        <w:pBdr>
          <w:bottom w:val="single" w:color="B8D4E8" w:sz="4" w:space="1"/>
        </w:pBdr>
        <w:spacing w:after="120" w:before="12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2. Connections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AI section → Connections → open "Google Gemini (Test)".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“This is the connection — where Umbraco.AI is told which AI backend to call. Provider is Google Gemini, talking to Gemini's OpenAI-compatible endpoint.”</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12"/>
              <w:bottom w:val="none" w:color="FFFFFF" w:sz="0"/>
              <w:right w:val="none" w:color="FFFFFF" w:sz="0"/>
            </w:tcBorders>
            <w:shd w:fill="FDECEA" w:val="clear"/>
            <w:tcMar>
              <w:top w:type="dxa" w:w="120"/>
              <w:left w:type="dxa" w:w="220"/>
              <w:bottom w:type="dxa" w:w="120"/>
              <w:right w:type="dxa" w:w="200"/>
            </w:tcMar>
          </w:tcPr>
          <w:p>
            <w:pPr>
              <w:spacing w:after="60"/>
            </w:pPr>
            <w:r>
              <w:rPr>
                <w:rFonts w:ascii="Arial" w:cs="Arial" w:eastAsia="Arial" w:hAnsi="Arial"/>
                <w:b/>
                <w:bCs/>
                <w:color w:val="B71C1C"/>
                <w:sz w:val="20"/>
                <w:szCs w:val="20"/>
              </w:rPr>
              <w:t xml:space="preserve">CURRENT → NUGET-READY:  Connection settings field labels</w:t>
            </w:r>
          </w:p>
          <w:p>
            <w:r>
              <w:rPr>
                <w:rFonts w:ascii="Arial" w:cs="Arial" w:eastAsia="Arial" w:hAnsi="Arial"/>
                <w:color w:val="1A1A1A"/>
                <w:sz w:val="20"/>
                <w:szCs w:val="20"/>
              </w:rPr>
              <w:t xml:space="preserve">Right now this screen shows raw text like "#uaiFields_googleApiKeyLabel" and "#uaiFields_googleEndpointDescription" instead of proper field labels. That's a missing localization file, not a functional bug — the connection works, Gemini responds correctly. Umbraco expects every custom AI provider to ship a small JSON file (a "lang" file) with display text for its settings fields; ours doesn't have one yet. Adding it is a short, contained fix — a few key/value pairs in one JSON file — and it needs to happen before this goes on NuGet for a real client project.</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“You're seeing raw localization keys here instead of proper labels — that's because our package hasn't shipped its language file yet. Once that's added, this reads "API Key" and "Gemini API key, resolved from configuration at runtime" instead of the placeholder text. Purely cosmetic, and on the list before this ships for real.”</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Point at the API Key field value: "$LimboAiTestsite:Gemini:ApiKey".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“Notice the dollar-sign prefix. That tells Umbraco.AI: don't store this value in the database, resolve it from configuration at runtime instead. The real key lives in .NET user secrets locally, and in a proper secrets manager in production — it is never stored in plain text, and never committed to git.”</w:t>
            </w:r>
          </w:p>
        </w:tc>
      </w:tr>
    </w:tbl>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3.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AI section → Profiles → open "Test Site Chat".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“A profile ties a connection to a specific model and behaviour. This one uses gemini-2.5-flash at temperature 0.4 — low enough to stay factual and on-brief, not so low it sounds robotic.”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“This profile is also marked as the site's default chat profile, so every prompt and agent I show you next inherits it automatically unless a specific one says otherwise.”</w:t>
            </w:r>
          </w:p>
        </w:tc>
      </w:tr>
    </w:tbl>
    <w:p>
      <w:pPr>
        <w:spacing w:after="80" w:before="0"/>
      </w:pPr>
      <w:r>
        <w:t xml:space="preserve"/>
      </w:r>
    </w:p>
    <w:p>
      <w:pPr>
        <w:pBdr>
          <w:bottom w:val="single" w:color="B8D4E8" w:sz="4" w:space="1"/>
        </w:pBdr>
        <w:spacing w:after="120" w:before="120"/>
      </w:pPr>
      <w:r>
        <w:t xml:space="preserve"/>
      </w:r>
    </w:p>
    <w:p>
      <w:pPr>
        <w:pStyle w:val="Heading1"/>
        <w:pBdr>
          <w:bottom w:val="single" w:color="2E75B6" w:sz="6" w:space="4"/>
        </w:pBdr>
        <w:spacing w:after="120" w:before="360"/>
      </w:pPr>
      <w:r>
        <w:rPr>
          <w:rFonts w:ascii="Arial" w:cs="Arial" w:eastAsia="Arial" w:hAnsi="Arial"/>
          <w:b/>
          <w:bCs/>
          <w:color w:val="1E3A5F"/>
          <w:sz w:val="32"/>
          <w:szCs w:val="32"/>
        </w:rPr>
        <w:t xml:space="preserve">4. Contexts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AI section → Contexts → open "Test Site — Editorial Style".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“A Context is reusable brand guidance that gets injected into every AI call automatically. This one carries tone, target audience, and style guidelines. I don't repeat "write in plain English, active voice, short sentences" in every single prompt — it's defined once here, and every prompt and agent on this site pulls it 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00"/>
              <w:left w:type="dxa" w:w="200"/>
              <w:bottom w:type="dxa" w:w="100"/>
              <w:right w:type="dxa" w:w="200"/>
            </w:tcMar>
          </w:tcPr>
          <w:p>
            <w:r>
              <w:rPr>
                <w:rFonts w:ascii="Arial" w:cs="Arial" w:eastAsia="Arial" w:hAnsi="Arial"/>
                <w:b/>
                <w:bCs/>
                <w:color w:val="B45309"/>
                <w:sz w:val="20"/>
                <w:szCs w:val="20"/>
              </w:rPr>
              <w:t xml:space="preserve">NOTE   </w:t>
            </w:r>
            <w:r>
              <w:rPr>
                <w:rFonts w:ascii="Arial" w:cs="Arial" w:eastAsia="Arial" w:hAnsi="Arial"/>
                <w:color w:val="1A1A1A"/>
                <w:sz w:val="20"/>
                <w:szCs w:val="20"/>
              </w:rPr>
              <w:t xml:space="preserve">InjectionMode is set to "Always" on this resource — it's included in literally every call the testsite-chat profile makes.</w:t>
            </w:r>
          </w:p>
        </w:tc>
      </w:tr>
    </w:tbl>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5. Prompts — the ⋮ menu on content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Open the "Kom godt i gang med Umbraco AI" article → click into the Title field → click the ⋮ icon.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“Every scoped text field in the backoffice gets this three-dot menu. What shows up here isn't hardcoded per field — each prompt declares a Scope: which property editor type, which content type, sometimes even which exact property alias it's allowed to appear on.”</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526"/>
      </w:tblGrid>
      <w:tr>
        <w:trPr>
          <w:tblHeader/>
        </w:trPr>
        <w:tc>
          <w:tcPr>
            <w:tcW w:type="dxa" w:w="24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Prompt</w:t>
            </w:r>
          </w:p>
        </w:tc>
        <w:tc>
          <w:tcPr>
            <w:tcW w:type="dxa" w:w="31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Where it appears</w:t>
            </w:r>
          </w:p>
        </w:tc>
        <w:tc>
          <w:tcPr>
            <w:tcW w:type="dxa" w:w="3526"/>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Rewrite</w:t>
            </w:r>
          </w:p>
        </w:tc>
        <w:tc>
          <w:tcPr>
            <w:tcW w:type="dxa" w:w="3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Any TextBox / TextArea / RichText</w:t>
            </w:r>
          </w:p>
        </w:tc>
        <w:tc>
          <w:tcPr>
            <w:tcW w:type="dxa" w:w="35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Rewrites the selected text for clarity and 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Summarise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Any TextBox / TextArea / RichText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Produces one short, clear paragraph.</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Generate alt text</w:t>
            </w:r>
          </w:p>
        </w:tc>
        <w:tc>
          <w:tcPr>
            <w:tcW w:type="dxa" w:w="3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Image.altText + testArticle.imageAlt only</w:t>
            </w:r>
          </w:p>
        </w:tc>
        <w:tc>
          <w:tcPr>
            <w:tcW w:type="dxa" w:w="35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Accessibility-focused image description. Reads full entity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SEO: Meta title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Short text fields (TextBox/TextArea)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Up to 60 chars, 3 alternatives offered.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SEO: Meta description</w:t>
            </w:r>
          </w:p>
        </w:tc>
        <w:tc>
          <w:tcPr>
            <w:tcW w:type="dxa" w:w="3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Short text fields (TextBox/TextArea)</w:t>
            </w:r>
          </w:p>
        </w:tc>
        <w:tc>
          <w:tcPr>
            <w:tcW w:type="dxa" w:w="35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150–160 chars, 3 alternatives offered.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Schema.org JSON-LD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TextArea only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Generates structured data (WebPage, Article, FAQPage, etc.) from page context.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Structure document content</w:t>
            </w:r>
          </w:p>
        </w:tc>
        <w:tc>
          <w:tcPr>
            <w:tcW w:type="dxa" w:w="31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TextArea / RichText</w:t>
            </w:r>
          </w:p>
        </w:tc>
        <w:tc>
          <w:tcPr>
            <w:tcW w:type="dxa" w:w="35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Cleans up raw pasted document text into publication-ready copy.</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“Notice "Generate alt text" doesn't show up on every TextBox in the site — only on the built-in Image type's alt-text field, and our own testArticle's image-alt field. That precision took a few iterations; an earlier version leaked onto irrelevant fields like a component's pixel-width setting, because it was scoped by editor type alone with no content-type constraint.”</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Click "Rewrite" (or "Summarise") on a real field and let it stream a live result.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“Watch it stream in — that's a live Gemini call, not a canned response.”</w:t>
            </w:r>
          </w:p>
        </w:tc>
      </w:tr>
    </w:tbl>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6. Agents — the Copilot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Click the Copilot chat icon (top right of the backoffice).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“Copilot is Umbraco.AI's chat panel. We've configured three agents, each scoped to a specific backoffice section, so editors only see the assistant relevant to where they're working.”</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Agent</w:t>
            </w:r>
          </w:p>
        </w:tc>
        <w:tc>
          <w:tcPr>
            <w:tcW w:type="dxa" w:w="22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Scoped to</w:t>
            </w:r>
          </w:p>
        </w:tc>
        <w:tc>
          <w:tcPr>
            <w:tcW w:type="dxa" w:w="4426"/>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Content Assistant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Content section</w:t>
            </w:r>
          </w:p>
        </w:tc>
        <w:tc>
          <w:tcPr>
            <w:tcW w:type="dxa" w:w="44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General writing help. Knows how to generate correct Umbraco 17 backoffice deep-links back to a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Media Assistant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Media section</w:t>
            </w:r>
          </w:p>
        </w:tc>
        <w:tc>
          <w:tcPr>
            <w:tcW w:type="dxa" w:w="44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Alt text and captions, accessibility-focused, avoids "Image of…" openers.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Migration Assistant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Content section</w:t>
            </w:r>
          </w:p>
        </w:tc>
        <w:tc>
          <w:tcPr>
            <w:tcW w:type="dxa" w:w="4426"/>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color w:val="1A1A1A"/>
                <w:sz w:val="20"/>
                <w:szCs w:val="20"/>
              </w:rPr>
              <w:t xml:space="preserve">Reads a source and a target node, produces a field-by-field migration plan.</w:t>
            </w:r>
          </w:p>
        </w:tc>
      </w:tr>
    </w:tbl>
    <w:p>
      <w:pPr>
        <w:spacing w:after="120" w:before="0"/>
      </w:pPr>
      <w:r>
        <w:t xml:space="preserve"/>
      </w:r>
    </w:p>
    <w:p>
      <w:pPr>
        <w:pStyle w:val="Heading3"/>
        <w:spacing w:after="60" w:before="200"/>
      </w:pPr>
      <w:r>
        <w:rPr>
          <w:rFonts w:ascii="Arial" w:cs="Arial" w:eastAsia="Arial" w:hAnsi="Arial"/>
          <w:b/>
          <w:bCs/>
          <w:color w:val="2E75B6"/>
          <w:sz w:val="22"/>
          <w:szCs w:val="22"/>
        </w:rPr>
        <w:t xml:space="preserve">Live demo: Migration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Open Migration Assistant → ask it to compare two seeded articles, e.g. "Migrate content from 'Kom godt i gang med Umbraco AI' into 'Tips til indholdsstrategi'."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“This is the one I'd actually demo live, because the output is genuinely useful: a table of source field → target field → recommended action — copy as-is, rewrite, trim, or manual. And it deliberately refuses to touch image pickers or block editors; those always get flagged for manual handling, because Gemini's compatibility layer can't reliably set complex nested values. It asks before writing anything, and it never publishes without being explicitly told to.”</w:t>
            </w:r>
          </w:p>
        </w:tc>
      </w:tr>
    </w:tbl>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7. The two features that are entirely Limbo's own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“Everything up to this point is Umbraco.AI's framework with a Gemini adapter. These next two are different: built from scratch, inside Limbo.Umbraco.AI, and they live as tabs on the content workspace, not in the AI section.”</w:t>
            </w:r>
          </w:p>
        </w:tc>
      </w:tr>
    </w:tbl>
    <w:p>
      <w:pPr>
        <w:spacing w:after="80" w:before="0"/>
      </w:pPr>
      <w:r>
        <w:t xml:space="preserve"/>
      </w:r>
    </w:p>
    <w:p>
      <w:pPr>
        <w:pStyle w:val="Heading2"/>
        <w:spacing w:after="80" w:before="280"/>
      </w:pPr>
      <w:r>
        <w:rPr>
          <w:rFonts w:ascii="Arial" w:cs="Arial" w:eastAsia="Arial" w:hAnsi="Arial"/>
          <w:b/>
          <w:bCs/>
          <w:color w:val="1E3A5F"/>
          <w:sz w:val="26"/>
          <w:szCs w:val="26"/>
        </w:rPr>
        <w:t xml:space="preserve">7a. Import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Open a Test Article node → "Import Document" tab.</w:t>
            </w:r>
          </w:p>
        </w:tc>
      </w:tr>
    </w:tbl>
    <w:p>
      <w:pPr>
        <w:pStyle w:val="ListParagraph"/>
        <w:numPr>
          <w:ilvl w:val="0"/>
          <w:numId w:val="3"/>
        </w:numPr>
        <w:spacing w:after="80"/>
      </w:pPr>
      <w:r>
        <w:rPr>
          <w:rFonts w:ascii="Arial" w:cs="Arial" w:eastAsia="Arial" w:hAnsi="Arial"/>
          <w:color w:val="1A1A1A"/>
          <w:sz w:val="22"/>
          <w:szCs w:val="22"/>
        </w:rPr>
        <w:t xml:space="preserve">Upload the prepared .docx (or paste text).</w:t>
      </w:r>
    </w:p>
    <w:p>
      <w:pPr>
        <w:pStyle w:val="ListParagraph"/>
        <w:numPr>
          <w:ilvl w:val="0"/>
          <w:numId w:val="3"/>
        </w:numPr>
        <w:spacing w:after="80"/>
      </w:pPr>
      <w:r>
        <w:rPr>
          <w:rFonts w:ascii="Arial" w:cs="Arial" w:eastAsia="Arial" w:hAnsi="Arial"/>
          <w:color w:val="1A1A1A"/>
          <w:sz w:val="22"/>
          <w:szCs w:val="22"/>
        </w:rPr>
        <w:t xml:space="preserve">Click Extract — the panel shows structured HTML extracted from the Word file: headings, bold/italic, lists, tables, and any embedded images.</w:t>
      </w:r>
    </w:p>
    <w:p>
      <w:pPr>
        <w:pStyle w:val="ListParagraph"/>
        <w:numPr>
          <w:ilvl w:val="0"/>
          <w:numId w:val="3"/>
        </w:numPr>
        <w:spacing w:after="80"/>
      </w:pPr>
      <w:r>
        <w:rPr>
          <w:rFonts w:ascii="Arial" w:cs="Arial" w:eastAsia="Arial" w:hAnsi="Arial"/>
          <w:color w:val="1A1A1A"/>
          <w:sz w:val="22"/>
          <w:szCs w:val="22"/>
        </w:rPr>
        <w:t xml:space="preserve">Click Analyze with AI — Gemini reads the content-type's fields (whatever they are — nothing is hardcoded) and proposes values for each matching field.</w:t>
      </w:r>
    </w:p>
    <w:p>
      <w:pPr>
        <w:pStyle w:val="ListParagraph"/>
        <w:numPr>
          <w:ilvl w:val="0"/>
          <w:numId w:val="3"/>
        </w:numPr>
        <w:spacing w:after="80"/>
      </w:pPr>
      <w:r>
        <w:rPr>
          <w:rFonts w:ascii="Arial" w:cs="Arial" w:eastAsia="Arial" w:hAnsi="Arial"/>
          <w:color w:val="1A1A1A"/>
          <w:sz w:val="22"/>
          <w:szCs w:val="22"/>
        </w:rPr>
        <w:t xml:space="preserve">If the document had images, each gets a dropdown — assign it to a media-picker property.</w:t>
      </w:r>
    </w:p>
    <w:p>
      <w:pPr>
        <w:pStyle w:val="ListParagraph"/>
        <w:numPr>
          <w:ilvl w:val="0"/>
          <w:numId w:val="3"/>
        </w:numPr>
        <w:spacing w:after="80"/>
      </w:pPr>
      <w:r>
        <w:rPr>
          <w:rFonts w:ascii="Arial" w:cs="Arial" w:eastAsia="Arial" w:hAnsi="Arial"/>
          <w:color w:val="1A1A1A"/>
          <w:sz w:val="22"/>
          <w:szCs w:val="22"/>
        </w:rPr>
        <w:t xml:space="preserve">Review, adjust, click Apply. The node saves as an unpublished draft — never auto-published.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“The interesting part technically is the image pipeline. Umbraco 17 removed the old one-call media upload API — it's now a two-step dance: stage the bytes as a temporary file, then create the media node referencing that temp file. Getting the JSON shape right for that second call took real trial and error, which I've documented in the technical reference doc if anyone wants to go deeper.”</w:t>
            </w:r>
          </w:p>
        </w:tc>
      </w:tr>
    </w:tbl>
    <w:p>
      <w:pPr>
        <w:spacing w:after="80" w:before="0"/>
      </w:pPr>
      <w:r>
        <w:t xml:space="preserve"/>
      </w:r>
    </w:p>
    <w:p>
      <w:pPr>
        <w:pStyle w:val="Heading2"/>
        <w:spacing w:after="80" w:before="280"/>
      </w:pPr>
      <w:r>
        <w:rPr>
          <w:rFonts w:ascii="Arial" w:cs="Arial" w:eastAsia="Arial" w:hAnsi="Arial"/>
          <w:b/>
          <w:bCs/>
          <w:color w:val="1E3A5F"/>
          <w:sz w:val="26"/>
          <w:szCs w:val="26"/>
        </w:rPr>
        <w:t xml:space="preserve">7b. Translate 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Same node → "Translate Node" tab → pick a target language → Translate.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“This queues a background job and returns immediately — you'll see a spinner, not a frozen screen. The actual Gemini call happens in a .NET background service, not on the request thread, so a slow translation never ties up the web server.”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00"/>
              <w:left w:type="dxa" w:w="200"/>
              <w:bottom w:type="dxa" w:w="100"/>
              <w:right w:type="dxa" w:w="200"/>
            </w:tcMar>
          </w:tcPr>
          <w:p>
            <w:r>
              <w:rPr>
                <w:rFonts w:ascii="Arial" w:cs="Arial" w:eastAsia="Arial" w:hAnsi="Arial"/>
                <w:b/>
                <w:bCs/>
                <w:color w:val="0D47A1"/>
                <w:sz w:val="20"/>
                <w:szCs w:val="20"/>
              </w:rPr>
              <w:t xml:space="preserve">SHOW   </w:t>
            </w:r>
            <w:r>
              <w:rPr>
                <w:rFonts w:ascii="Arial" w:cs="Arial" w:eastAsia="Arial" w:hAnsi="Arial"/>
                <w:color w:val="1A1A1A"/>
                <w:sz w:val="20"/>
                <w:szCs w:val="20"/>
              </w:rPr>
              <w:t xml:space="preserve">Wait for the status to flip to Completed, then click Publish Draft.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“Same safety rule as the import feature: translated content always lands as an unpublished culture variant first. An editor has to explicitly publish it — there's no path where a raw AI translation goes live without a human looking at it.”</w:t>
            </w:r>
          </w:p>
        </w:tc>
      </w:tr>
    </w:tbl>
    <w:p>
      <w:pPr>
        <w:spacing w:after="80" w:before="0"/>
      </w:pPr>
      <w:r>
        <w:t xml:space="preserve"/>
      </w:r>
    </w:p>
    <w:p>
      <w:pPr>
        <w:pStyle w:val="Heading2"/>
        <w:spacing w:after="80" w:before="280"/>
      </w:pPr>
      <w:r>
        <w:rPr>
          <w:rFonts w:ascii="Arial" w:cs="Arial" w:eastAsia="Arial" w:hAnsi="Arial"/>
          <w:b/>
          <w:bCs/>
          <w:color w:val="1E3A5F"/>
          <w:sz w:val="26"/>
          <w:szCs w:val="26"/>
        </w:rPr>
        <w:t xml:space="preserve">7c. The on/off switch — invisible in the UI, on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“One more thing worth mentioning even though there's nothing to click: both of these tabs can be switched on or off per feature, and restricted to specific content types, entirely in C# at application startup. There's no backoffice toggle for this — deliberately, so an editor can never accidentally turn a feature off for the whole site.”</w:t>
            </w:r>
          </w:p>
        </w:tc>
      </w:tr>
    </w:tbl>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 Startup composer — this project's actual configuration</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builder.AddLimboAiTranslation(o =&gt;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o.ApiKeyConfigPath = "LimboAiTestsite:Gemini:ApiKey");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builder.AddLimboAiDocumentImport(o =&gt;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o.ApiKeyConfigPath = "LimboAiTestsite:Gemini:ApiKey");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Optional: restrict either tab to specific content types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builder.AddLimboAiDocumentImport(o =&gt;</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    o.AllowedDocumentTypeAliases = ["testArticle"]);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“If someone asks "can a client restrict this to just their article type, not every page?" — yes, exactly like this, and it's a code-level decision made once by whoever installs the package, not something an editor can touch.”</w:t>
            </w:r>
          </w:p>
        </w:tc>
      </w:tr>
    </w:tbl>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8. Current state → NuGet-ready: all open items in one place</w:t>
      </w:r>
    </w:p>
    <w:p>
      <w:pPr>
        <w:spacing w:after="160" w:before="0"/>
      </w:pPr>
      <w:r>
        <w:rPr>
          <w:rFonts w:ascii="Arial" w:cs="Arial" w:eastAsia="Arial" w:hAnsi="Arial"/>
          <w:color w:val="1A1A1A"/>
          <w:sz w:val="22"/>
          <w:szCs w:val="22"/>
        </w:rPr>
        <w:t xml:space="preserve">Everything below is worth surfacing proactively — better the team hears it from you than discovers it themselves. None of these are functional blockers on the testsite; they're what stands between "works on my local testsite" and "safe to hand a real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12"/>
              <w:bottom w:val="none" w:color="FFFFFF" w:sz="0"/>
              <w:right w:val="none" w:color="FFFFFF" w:sz="0"/>
            </w:tcBorders>
            <w:shd w:fill="FDECEA" w:val="clear"/>
            <w:tcMar>
              <w:top w:type="dxa" w:w="120"/>
              <w:left w:type="dxa" w:w="220"/>
              <w:bottom w:type="dxa" w:w="120"/>
              <w:right w:type="dxa" w:w="200"/>
            </w:tcMar>
          </w:tcPr>
          <w:p>
            <w:pPr>
              <w:spacing w:after="60"/>
            </w:pPr>
            <w:r>
              <w:rPr>
                <w:rFonts w:ascii="Arial" w:cs="Arial" w:eastAsia="Arial" w:hAnsi="Arial"/>
                <w:b/>
                <w:bCs/>
                <w:color w:val="B71C1C"/>
                <w:sz w:val="20"/>
                <w:szCs w:val="20"/>
              </w:rPr>
              <w:t xml:space="preserve">CURRENT → NUGET-READY:  Connection settings localization</w:t>
            </w:r>
          </w:p>
          <w:p>
            <w:r>
              <w:rPr>
                <w:rFonts w:ascii="Arial" w:cs="Arial" w:eastAsia="Arial" w:hAnsi="Arial"/>
                <w:color w:val="1A1A1A"/>
                <w:sz w:val="20"/>
                <w:szCs w:val="20"/>
              </w:rPr>
              <w:t xml:space="preserve">Raw "#uaiFields_google…" keys shown instead of labels (see Part 2). Fix: add a lang/en-us.json (and ideally da-dk.json) file to the package's wwwroot with the missing display strings. Small, contained, no logic changes.</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12"/>
              <w:bottom w:val="none" w:color="FFFFFF" w:sz="0"/>
              <w:right w:val="none" w:color="FFFFFF" w:sz="0"/>
            </w:tcBorders>
            <w:shd w:fill="FDECEA" w:val="clear"/>
            <w:tcMar>
              <w:top w:type="dxa" w:w="120"/>
              <w:left w:type="dxa" w:w="220"/>
              <w:bottom w:type="dxa" w:w="120"/>
              <w:right w:type="dxa" w:w="200"/>
            </w:tcMar>
          </w:tcPr>
          <w:p>
            <w:pPr>
              <w:spacing w:after="60"/>
            </w:pPr>
            <w:r>
              <w:rPr>
                <w:rFonts w:ascii="Arial" w:cs="Arial" w:eastAsia="Arial" w:hAnsi="Arial"/>
                <w:b/>
                <w:bCs/>
                <w:color w:val="B71C1C"/>
                <w:sz w:val="20"/>
                <w:szCs w:val="20"/>
              </w:rPr>
              <w:t xml:space="preserve">CURRENT → NUGET-READY:  Distribution model</w:t>
            </w:r>
          </w:p>
          <w:p>
            <w:r>
              <w:rPr>
                <w:rFonts w:ascii="Arial" w:cs="Arial" w:eastAsia="Arial" w:hAnsi="Arial"/>
                <w:color w:val="1A1A1A"/>
                <w:sz w:val="20"/>
                <w:szCs w:val="20"/>
              </w:rPr>
              <w:t xml:space="preserve">The testsite currently consumes Limbo.Umbraco.AI via a local &lt;ProjectReference&gt; — sibling folder on disk, rebuilds instantly, no publish step. The package's own README already documents the intended final installation: dotnet add package Limbo.Umbraco.AI --version 17.0.0. Before a real client project can use it, it needs an actual NuGet push.</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12"/>
              <w:bottom w:val="none" w:color="FFFFFF" w:sz="0"/>
              <w:right w:val="none" w:color="FFFFFF" w:sz="0"/>
            </w:tcBorders>
            <w:shd w:fill="FDECEA" w:val="clear"/>
            <w:tcMar>
              <w:top w:type="dxa" w:w="120"/>
              <w:left w:type="dxa" w:w="220"/>
              <w:bottom w:type="dxa" w:w="120"/>
              <w:right w:type="dxa" w:w="200"/>
            </w:tcMar>
          </w:tcPr>
          <w:p>
            <w:pPr>
              <w:spacing w:after="60"/>
            </w:pPr>
            <w:r>
              <w:rPr>
                <w:rFonts w:ascii="Arial" w:cs="Arial" w:eastAsia="Arial" w:hAnsi="Arial"/>
                <w:b/>
                <w:bCs/>
                <w:color w:val="B71C1C"/>
                <w:sz w:val="20"/>
                <w:szCs w:val="20"/>
              </w:rPr>
              <w:t xml:space="preserve">CURRENT → NUGET-READY:  llm-judge guardrail (tone-of-voice checking)</w:t>
            </w:r>
          </w:p>
          <w:p>
            <w:r>
              <w:rPr>
                <w:rFonts w:ascii="Arial" w:cs="Arial" w:eastAsia="Arial" w:hAnsi="Arial"/>
                <w:color w:val="1A1A1A"/>
                <w:sz w:val="20"/>
                <w:szCs w:val="20"/>
              </w:rPr>
              <w:t xml:space="preserve">Guardrails using the llm-judge evaluator send a secondary LLM call whose request shape Gemini's OpenAI-compatible layer currently rejects with HTTP 400. It's intentionally left off this profile. A tone-of-voice check was designed as a post-generate guardrail rather than a manual prompt button — it just can't be turned on with Gemini yet. Needs either a native Gemini provider or a Gemini-specific guardrail evaluator.</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12"/>
              <w:bottom w:val="none" w:color="FFFFFF" w:sz="0"/>
              <w:right w:val="none" w:color="FFFFFF" w:sz="0"/>
            </w:tcBorders>
            <w:shd w:fill="FDECEA" w:val="clear"/>
            <w:tcMar>
              <w:top w:type="dxa" w:w="120"/>
              <w:left w:type="dxa" w:w="220"/>
              <w:bottom w:type="dxa" w:w="120"/>
              <w:right w:type="dxa" w:w="200"/>
            </w:tcMar>
          </w:tcPr>
          <w:p>
            <w:pPr>
              <w:spacing w:after="60"/>
            </w:pPr>
            <w:r>
              <w:rPr>
                <w:rFonts w:ascii="Arial" w:cs="Arial" w:eastAsia="Arial" w:hAnsi="Arial"/>
                <w:b/>
                <w:bCs/>
                <w:color w:val="B71C1C"/>
                <w:sz w:val="20"/>
                <w:szCs w:val="20"/>
              </w:rPr>
              <w:t xml:space="preserve">CURRENT → NUGET-READY:  Tools + forced JSON response format</w:t>
            </w:r>
          </w:p>
          <w:p>
            <w:r>
              <w:rPr>
                <w:rFonts w:ascii="Arial" w:cs="Arial" w:eastAsia="Arial" w:hAnsi="Arial"/>
                <w:color w:val="1A1A1A"/>
                <w:sz w:val="20"/>
                <w:szCs w:val="20"/>
              </w:rPr>
              <w:t xml:space="preserve">Gemini's compatibility layer rejects a request that combines function-calling tools with a forced JSON response schema (HTTP 400) — a real Gemini API limitation, not our bug. Already handled: the package ships a compatibility shim that silently strips the JSON response format from any request that also carries tools. Worth mentioning as a solved rough edge, not an open one — it shows the package accounts for real API quirks, not just the happy path.</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1C1C" w:sz="12"/>
              <w:bottom w:val="none" w:color="FFFFFF" w:sz="0"/>
              <w:right w:val="none" w:color="FFFFFF" w:sz="0"/>
            </w:tcBorders>
            <w:shd w:fill="FDECEA" w:val="clear"/>
            <w:tcMar>
              <w:top w:type="dxa" w:w="120"/>
              <w:left w:type="dxa" w:w="220"/>
              <w:bottom w:type="dxa" w:w="120"/>
              <w:right w:type="dxa" w:w="200"/>
            </w:tcMar>
          </w:tcPr>
          <w:p>
            <w:pPr>
              <w:spacing w:after="60"/>
            </w:pPr>
            <w:r>
              <w:rPr>
                <w:rFonts w:ascii="Arial" w:cs="Arial" w:eastAsia="Arial" w:hAnsi="Arial"/>
                <w:b/>
                <w:bCs/>
                <w:color w:val="B71C1C"/>
                <w:sz w:val="20"/>
                <w:szCs w:val="20"/>
              </w:rPr>
              <w:t xml:space="preserve">CURRENT → NUGET-READY:  Block List / Block Grid deep content editing</w:t>
            </w:r>
          </w:p>
          <w:p>
            <w:r>
              <w:rPr>
                <w:rFonts w:ascii="Arial" w:cs="Arial" w:eastAsia="Arial" w:hAnsi="Arial"/>
                <w:color w:val="1A1A1A"/>
                <w:sz w:val="20"/>
                <w:szCs w:val="20"/>
              </w:rPr>
              <w:t xml:space="preserve">Editing values nested inside Block List or Block Grid items via AI tools is still being worked through with the team — it's a known limitation of how deeply the current tool set can reach into nested block content, and it's intentionally deferred rather than shipped half-working.</w:t>
            </w:r>
          </w:p>
        </w:tc>
      </w:tr>
    </w:tbl>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9. Anticipated questions — quick answers</w:t>
      </w:r>
    </w:p>
    <w:p>
      <w:pPr>
        <w:spacing w:after="160" w:before="0"/>
      </w:pPr>
      <w:r>
        <w:rPr>
          <w:rFonts w:ascii="Arial" w:cs="Arial" w:eastAsia="Arial" w:hAnsi="Arial"/>
          <w:color w:val="1A1A1A"/>
          <w:sz w:val="22"/>
          <w:szCs w:val="22"/>
        </w:rPr>
        <w:t xml:space="preserve">Full code-level detail for all of these lives in the companion technical reference (Limbo-Umbraco-AI-Overview.docx). These are the short spoken answers.</w:t>
      </w:r>
    </w:p>
    <w:p>
      <w:pPr>
        <w:pStyle w:val="Heading3"/>
        <w:spacing w:after="60" w:before="200"/>
      </w:pPr>
      <w:r>
        <w:rPr>
          <w:rFonts w:ascii="Arial" w:cs="Arial" w:eastAsia="Arial" w:hAnsi="Arial"/>
          <w:b/>
          <w:bCs/>
          <w:color w:val="2E75B6"/>
          <w:sz w:val="22"/>
          <w:szCs w:val="22"/>
        </w:rPr>
        <w:t xml:space="preserve">“Why Gemini instead of calling OpenAI directly?”</w:t>
      </w:r>
    </w:p>
    <w:p>
      <w:pPr>
        <w:spacing w:after="160" w:before="0"/>
      </w:pPr>
      <w:r>
        <w:rPr>
          <w:rFonts w:ascii="Arial" w:cs="Arial" w:eastAsia="Arial" w:hAnsi="Arial"/>
          <w:color w:val="1A1A1A"/>
          <w:sz w:val="22"/>
          <w:szCs w:val="22"/>
        </w:rPr>
        <w:t xml:space="preserve">Because the client only has a Gemini API key — no OpenAI key exists for this project. Gemini exposes an OpenAI-compatible endpoint, so we get to reuse the standard </w:t>
      </w:r>
      <w:r>
        <w:rPr>
          <w:rFonts w:ascii="Courier New" w:cs="Courier New" w:eastAsia="Courier New" w:hAnsi="Courier New"/>
          <w:color w:val="1E3A5F"/>
          <w:sz w:val="18"/>
          <w:szCs w:val="18"/>
        </w:rPr>
        <w:t xml:space="preserve">Microsoft.Extensions.AI</w:t>
      </w:r>
      <w:r>
        <w:rPr>
          <w:rFonts w:ascii="Arial" w:cs="Arial" w:eastAsia="Arial" w:hAnsi="Arial"/>
          <w:color w:val="1A1A1A"/>
          <w:sz w:val="22"/>
          <w:szCs w:val="22"/>
        </w:rPr>
        <w:t xml:space="preserve"> / </w:t>
      </w:r>
      <w:r>
        <w:rPr>
          <w:rFonts w:ascii="Courier New" w:cs="Courier New" w:eastAsia="Courier New" w:hAnsi="Courier New"/>
          <w:color w:val="1E3A5F"/>
          <w:sz w:val="18"/>
          <w:szCs w:val="18"/>
        </w:rPr>
        <w:t xml:space="preserve">IChatClient</w:t>
      </w:r>
      <w:r>
        <w:rPr>
          <w:rFonts w:ascii="Arial" w:cs="Arial" w:eastAsia="Arial" w:hAnsi="Arial"/>
          <w:color w:val="1A1A1A"/>
          <w:sz w:val="22"/>
          <w:szCs w:val="22"/>
        </w:rPr>
        <w:t xml:space="preserve"> abstraction without writing a Gemini-specific SDK integration. Swapping providers later is mostly a config change, not a rewrite.</w:t>
      </w:r>
    </w:p>
    <w:p>
      <w:pPr>
        <w:pStyle w:val="Heading3"/>
        <w:spacing w:after="60" w:before="200"/>
      </w:pPr>
      <w:r>
        <w:rPr>
          <w:rFonts w:ascii="Arial" w:cs="Arial" w:eastAsia="Arial" w:hAnsi="Arial"/>
          <w:b/>
          <w:bCs/>
          <w:color w:val="2E75B6"/>
          <w:sz w:val="22"/>
          <w:szCs w:val="22"/>
        </w:rPr>
        <w:t xml:space="preserve">“Does any of this send our content to Google for model training?”</w:t>
      </w:r>
    </w:p>
    <w:p>
      <w:pPr>
        <w:spacing w:after="160" w:before="0"/>
      </w:pPr>
      <w:r>
        <w:rPr>
          <w:rFonts w:ascii="Arial" w:cs="Arial" w:eastAsia="Arial" w:hAnsi="Arial"/>
          <w:color w:val="1A1A1A"/>
          <w:sz w:val="22"/>
          <w:szCs w:val="22"/>
        </w:rPr>
        <w:t xml:space="preserve">Worth confirming Google's current Gemini API terms before giving a definitive answer in the room — API-tier usage terms can differ from the consumer Gemini app and can change. Flagging this now so it's checked before the meeting rather than answered from memory live.</w:t>
      </w:r>
    </w:p>
    <w:p>
      <w:pPr>
        <w:pStyle w:val="Heading3"/>
        <w:spacing w:after="60" w:before="200"/>
      </w:pPr>
      <w:r>
        <w:rPr>
          <w:rFonts w:ascii="Arial" w:cs="Arial" w:eastAsia="Arial" w:hAnsi="Arial"/>
          <w:b/>
          <w:bCs/>
          <w:color w:val="2E75B6"/>
          <w:sz w:val="22"/>
          <w:szCs w:val="22"/>
        </w:rPr>
        <w:t xml:space="preserve">“What happens if the Gemini API key is wrong or Gemini is down?”</w:t>
      </w:r>
    </w:p>
    <w:p>
      <w:pPr>
        <w:spacing w:after="160" w:before="0"/>
      </w:pPr>
      <w:r>
        <w:rPr>
          <w:rFonts w:ascii="Arial" w:cs="Arial" w:eastAsia="Arial" w:hAnsi="Arial"/>
          <w:color w:val="1A1A1A"/>
          <w:sz w:val="22"/>
          <w:szCs w:val="22"/>
        </w:rPr>
        <w:t xml:space="preserve">Import and Analyze return clear error responses (400/422) with a message the editor can read, and the exception is logged server-side. Translation jobs are caught individually — a failed job is marked Failed in the queue with the error message, it never crashes the app, and other queued jobs keep processing.</w:t>
      </w:r>
    </w:p>
    <w:p>
      <w:pPr>
        <w:pStyle w:val="Heading3"/>
        <w:spacing w:after="60" w:before="200"/>
      </w:pPr>
      <w:r>
        <w:rPr>
          <w:rFonts w:ascii="Arial" w:cs="Arial" w:eastAsia="Arial" w:hAnsi="Arial"/>
          <w:b/>
          <w:bCs/>
          <w:color w:val="2E75B6"/>
          <w:sz w:val="22"/>
          <w:szCs w:val="22"/>
        </w:rPr>
        <w:t xml:space="preserve">“Can an editor accidentally publish unreviewed AI content?”</w:t>
      </w:r>
    </w:p>
    <w:p>
      <w:pPr>
        <w:spacing w:after="160" w:before="0"/>
      </w:pPr>
      <w:r>
        <w:rPr>
          <w:rFonts w:ascii="Arial" w:cs="Arial" w:eastAsia="Arial" w:hAnsi="Arial"/>
          <w:color w:val="1A1A1A"/>
          <w:sz w:val="22"/>
          <w:szCs w:val="22"/>
        </w:rPr>
        <w:t xml:space="preserve">No — both Import Document and Translate Node always save as an unpublished draft (or draft culture variant). Publishing is always a separate, explicit action.</w:t>
      </w:r>
    </w:p>
    <w:p>
      <w:pPr>
        <w:pStyle w:val="Heading3"/>
        <w:spacing w:after="60" w:before="200"/>
      </w:pPr>
      <w:r>
        <w:rPr>
          <w:rFonts w:ascii="Arial" w:cs="Arial" w:eastAsia="Arial" w:hAnsi="Arial"/>
          <w:b/>
          <w:bCs/>
          <w:color w:val="2E75B6"/>
          <w:sz w:val="22"/>
          <w:szCs w:val="22"/>
        </w:rPr>
        <w:t xml:space="preserve">“Does this only work on the seeded test content types?”</w:t>
      </w:r>
    </w:p>
    <w:p>
      <w:pPr>
        <w:spacing w:after="160" w:before="0"/>
      </w:pPr>
      <w:r>
        <w:rPr>
          <w:rFonts w:ascii="Arial" w:cs="Arial" w:eastAsia="Arial" w:hAnsi="Arial"/>
          <w:color w:val="1A1A1A"/>
          <w:sz w:val="22"/>
          <w:szCs w:val="22"/>
        </w:rPr>
        <w:t xml:space="preserve">No — both features discover fields by property editor type (TextBox, TextArea, RichText), not by field name or content type. Point it at any content type with text fields and it works without extra configuration.</w:t>
      </w:r>
    </w:p>
    <w:p>
      <w:pPr>
        <w:pStyle w:val="Heading3"/>
        <w:spacing w:after="60" w:before="200"/>
      </w:pPr>
      <w:r>
        <w:rPr>
          <w:rFonts w:ascii="Arial" w:cs="Arial" w:eastAsia="Arial" w:hAnsi="Arial"/>
          <w:b/>
          <w:bCs/>
          <w:color w:val="2E75B6"/>
          <w:sz w:val="22"/>
          <w:szCs w:val="22"/>
        </w:rPr>
        <w:t xml:space="preserve">“Why is the default language Danish?”</w:t>
      </w:r>
    </w:p>
    <w:p>
      <w:pPr>
        <w:spacing w:after="160" w:before="0"/>
      </w:pPr>
      <w:r>
        <w:rPr>
          <w:rFonts w:ascii="Arial" w:cs="Arial" w:eastAsia="Arial" w:hAnsi="Arial"/>
          <w:color w:val="1A1A1A"/>
          <w:sz w:val="22"/>
          <w:szCs w:val="22"/>
        </w:rPr>
        <w:t xml:space="preserve">Deliberate choice for this testsite so the Translate Node feature has something meaningful to demonstrate — da-DK is seeded as default and content translates outward to en-US, de-DE, fr-FR, es-ES as unpublished drafts.</w:t>
      </w:r>
    </w:p>
    <w:p>
      <w:pPr>
        <w:spacing w:after="80" w:before="0"/>
      </w:pPr>
      <w:r>
        <w:t xml:space="preserve"/>
      </w:r>
    </w:p>
    <w:p>
      <w:pPr>
        <w:pBdr>
          <w:bottom w:val="single" w:color="B8D4E8" w:sz="4" w:space="1"/>
        </w:pBd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E3A5F"/>
          <w:sz w:val="32"/>
          <w:szCs w:val="32"/>
        </w:rPr>
        <w:t xml:space="preserve">10. Code appendix — deep-dive answers</w:t>
      </w:r>
    </w:p>
    <w:p>
      <w:pPr>
        <w:spacing w:after="200" w:before="0"/>
      </w:pPr>
      <w:r>
        <w:rPr>
          <w:rFonts w:ascii="Arial" w:cs="Arial" w:eastAsia="Arial" w:hAnsi="Arial"/>
          <w:color w:val="1A1A1A"/>
          <w:sz w:val="22"/>
          <w:szCs w:val="22"/>
        </w:rPr>
        <w:t xml:space="preserve">Prepared for three questions that are likely to come up: </w:t>
      </w:r>
      <w:r>
        <w:rPr>
          <w:rFonts w:ascii="Arial" w:cs="Arial" w:eastAsia="Arial" w:hAnsi="Arial"/>
          <w:b/>
          <w:bCs/>
          <w:color w:val="1A1A1A"/>
          <w:sz w:val="22"/>
          <w:szCs w:val="22"/>
        </w:rPr>
        <w:t xml:space="preserve">"how does alt text generation actually work?"</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"how is the document saved?"</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"how is the image uploaded to Media?"</w:t>
      </w:r>
      <w:r>
        <w:rPr>
          <w:rFonts w:ascii="Arial" w:cs="Arial" w:eastAsia="Arial" w:hAnsi="Arial"/>
          <w:color w:val="1A1A1A"/>
          <w:sz w:val="22"/>
          <w:szCs w:val="22"/>
        </w:rPr>
        <w:t xml:space="preserve">. Recommendation on delivery: show a short snippet </w:t>
      </w:r>
      <w:r>
        <w:rPr>
          <w:rFonts w:ascii="Arial" w:cs="Arial" w:eastAsia="Arial" w:hAnsi="Arial"/>
          <w:b/>
          <w:bCs/>
          <w:color w:val="1A1A1A"/>
          <w:sz w:val="22"/>
          <w:szCs w:val="22"/>
        </w:rPr>
        <w:t xml:space="preserve">and</w:t>
      </w:r>
      <w:r>
        <w:rPr>
          <w:rFonts w:ascii="Arial" w:cs="Arial" w:eastAsia="Arial" w:hAnsi="Arial"/>
          <w:color w:val="1A1A1A"/>
          <w:sz w:val="22"/>
          <w:szCs w:val="22"/>
        </w:rPr>
        <w:t xml:space="preserve"> mention the GitHub repo — don't pick just one. Pointing only to GitHub without showing anything reads as "trust me" to a technical audience; showing code with no repo reference makes it feel like a one-off. Close each answer with something like "the full implementation is on GitHub under Limbo.Umbraco.AI if anyone wants to dig in after this."</w:t>
      </w:r>
    </w:p>
    <w:p>
      <w:pPr>
        <w:pStyle w:val="Heading2"/>
        <w:spacing w:after="80" w:before="280"/>
      </w:pPr>
      <w:r>
        <w:rPr>
          <w:rFonts w:ascii="Arial" w:cs="Arial" w:eastAsia="Arial" w:hAnsi="Arial"/>
          <w:b/>
          <w:bCs/>
          <w:color w:val="1E3A5F"/>
          <w:sz w:val="26"/>
          <w:szCs w:val="26"/>
        </w:rPr>
        <w:t xml:space="preserve">10a. Alt text generation — configuration, not custom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“There's no custom C# for alt text specifically — it rides on the same generic prompt engine as Rewrite and Summarise. What makes it work is the Scope configuration, not bespoke code.”</w:t>
            </w:r>
          </w:p>
        </w:tc>
      </w:tr>
    </w:tbl>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 AiSeedData.cs — the actual seeded prompt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await promptService.SavePromptAsync(new AIPrompt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Alias = "generate-alt-text",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Instructions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"Describe the image for screen readers. Be concise and accurate. "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"Do not start with 'Image of' or 'Photo of'. "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"Return only the alt text — no explanation or extra text.",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ProfileId = profile.Id,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IncludeEntityContext = true,   // sends full page context, not just the field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Scope = new AIPromptScope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AllowRules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new AIPromptScopeRule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ContentTypeAliases      = ["Image"],        // built-in media type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PropertyAliases         = ["altText"],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PropertyEditorUiAliases = ["Umb.PropertyEditorUi.TextBox"]</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new AIPromptScopeRule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ContentTypeAliases      = ["testArticle"],  // our content type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PropertyAliases         = ["imageAlt"],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PropertyEditorUiAliases = ["Umb.PropertyEditorUi.TextBox"]</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00"/>
              <w:left w:type="dxa" w:w="200"/>
              <w:bottom w:type="dxa" w:w="100"/>
              <w:right w:type="dxa" w:w="200"/>
            </w:tcMar>
          </w:tcPr>
          <w:p>
            <w:r>
              <w:rPr>
                <w:rFonts w:ascii="Arial" w:cs="Arial" w:eastAsia="Arial" w:hAnsi="Arial"/>
                <w:b/>
                <w:bCs/>
                <w:color w:val="B45309"/>
                <w:sz w:val="20"/>
                <w:szCs w:val="20"/>
              </w:rPr>
              <w:t xml:space="preserve">NOTE   </w:t>
            </w:r>
            <w:r>
              <w:rPr>
                <w:rFonts w:ascii="Arial" w:cs="Arial" w:eastAsia="Arial" w:hAnsi="Arial"/>
                <w:color w:val="1A1A1A"/>
                <w:sz w:val="20"/>
                <w:szCs w:val="20"/>
              </w:rPr>
              <w:t xml:space="preserve">Two AllowRules because alt text can live in two places: on the media item itself (Image.altText) or on a text field next to an image picker on the content node (testArticle.imageAlt). The code comments document v1–v4 of this scope — v1 leaked onto MediaPicker fields, v2 leaked onto every TextBox in the site. Good anecdote for "getting an AI feature's blast radius right takes iteration."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00"/>
              <w:left w:type="dxa" w:w="200"/>
              <w:bottom w:type="dxa" w:w="100"/>
              <w:right w:type="dxa" w:w="200"/>
            </w:tcMar>
          </w:tcPr>
          <w:p>
            <w:r>
              <w:rPr>
                <w:rFonts w:ascii="Arial" w:cs="Arial" w:eastAsia="Arial" w:hAnsi="Arial"/>
                <w:b/>
                <w:bCs/>
                <w:color w:val="B45309"/>
                <w:sz w:val="20"/>
                <w:szCs w:val="20"/>
              </w:rPr>
              <w:t xml:space="preserve">NOTE   </w:t>
            </w:r>
            <w:r>
              <w:rPr>
                <w:rFonts w:ascii="Arial" w:cs="Arial" w:eastAsia="Arial" w:hAnsi="Arial"/>
                <w:color w:val="1A1A1A"/>
                <w:sz w:val="20"/>
                <w:szCs w:val="20"/>
              </w:rPr>
              <w:t xml:space="preserve">IncludeEntityContext = true is what lets Gemini "see" the surrounding page. The exact injection mechanics live inside Umbraco.AI's prompt engine, not our code — if asked exactly what gets sent, "the framework handles that part" is the honest answer, not a guess.</w:t>
            </w:r>
          </w:p>
        </w:tc>
      </w:tr>
    </w:tbl>
    <w:p>
      <w:pPr>
        <w:spacing w:after="80" w:before="0"/>
      </w:pPr>
      <w:r>
        <w:t xml:space="preserve"/>
      </w:r>
    </w:p>
    <w:p>
      <w:pPr>
        <w:pStyle w:val="Heading2"/>
        <w:spacing w:after="80" w:before="280"/>
      </w:pPr>
      <w:r>
        <w:rPr>
          <w:rFonts w:ascii="Arial" w:cs="Arial" w:eastAsia="Arial" w:hAnsi="Arial"/>
          <w:b/>
          <w:bCs/>
          <w:color w:val="1E3A5F"/>
          <w:sz w:val="26"/>
          <w:szCs w:val="26"/>
        </w:rPr>
        <w:t xml:space="preserve">10b. How the document is saved — DocumentImportController.Apply()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“This part is genuinely our own code. One thing worth saying proactively: applying is not all-or-nothing — if one image fails, everything else still saves.”</w:t>
            </w:r>
          </w:p>
        </w:tc>
      </w:tr>
    </w:tbl>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public async Task&lt;IActionResult&gt; Apply([FromBody] ApplyRequest request)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IContent? content = _contentService.GetById(request.ContentKey);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string? culture = request.Culture ?? defaultLanguageIsoCode;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int applied = 0;</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1 — text fields: set directly, RichText wrapped in {"markup":"..."}</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foreach (ApplyField field in request.Fields)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var prop = content.Properties.FirstOrDefault(p =&gt; p.Alias == field.Alias);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string value = isRichText ? WrapMarkup(field.Value) : field.Value;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content.SetValue(field.Alias, value, culture: isCultureVariant ? culture : null);</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applied++;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2 — images: upload + assign, one at a time, independently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foreach (ApplyImage img in request.Images ??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try { /* 4-step upload pipeline — see 10c */ applied++;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catch (Exception ex) { /* log + skip just this image, keep going */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3 — ONE save call, covering everything that succeeded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_contentService.Save(content);   // always unpublished draft, never Publish()</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return Ok(new ApplyResponse(applied));</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00"/>
              <w:left w:type="dxa" w:w="200"/>
              <w:bottom w:type="dxa" w:w="100"/>
              <w:right w:type="dxa" w:w="200"/>
            </w:tcMar>
          </w:tcPr>
          <w:p>
            <w:r>
              <w:rPr>
                <w:rFonts w:ascii="Arial" w:cs="Arial" w:eastAsia="Arial" w:hAnsi="Arial"/>
                <w:b/>
                <w:bCs/>
                <w:color w:val="B45309"/>
                <w:sz w:val="20"/>
                <w:szCs w:val="20"/>
              </w:rPr>
              <w:t xml:space="preserve">NOTE   </w:t>
            </w:r>
            <w:r>
              <w:rPr>
                <w:rFonts w:ascii="Arial" w:cs="Arial" w:eastAsia="Arial" w:hAnsi="Arial"/>
                <w:color w:val="1A1A1A"/>
                <w:sz w:val="20"/>
                <w:szCs w:val="20"/>
              </w:rPr>
              <w:t xml:space="preserve">If someone asks "what happens if an upload fails halfway through?" — the answer is: that one image is logged and skipped, everything else (other images, all text fields) still gets applied and saved. applied just comes back lower than requested. Not atomic by design.</w:t>
            </w:r>
          </w:p>
        </w:tc>
      </w:tr>
    </w:tbl>
    <w:p>
      <w:pPr>
        <w:spacing w:after="80" w:before="0"/>
      </w:pPr>
      <w:r>
        <w:t xml:space="preserve"/>
      </w:r>
    </w:p>
    <w:p>
      <w:pPr>
        <w:pStyle w:val="Heading2"/>
        <w:spacing w:after="80" w:before="280"/>
      </w:pPr>
      <w:r>
        <w:rPr>
          <w:rFonts w:ascii="Arial" w:cs="Arial" w:eastAsia="Arial" w:hAnsi="Arial"/>
          <w:b/>
          <w:bCs/>
          <w:color w:val="1E3A5F"/>
          <w:sz w:val="26"/>
          <w:szCs w:val="26"/>
        </w:rPr>
        <w:t xml:space="preserve">10c. Image upload to Media — the four-step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00"/>
              <w:left w:type="dxa" w:w="200"/>
              <w:bottom w:type="dxa" w:w="100"/>
              <w:right w:type="dxa" w:w="200"/>
            </w:tcMar>
          </w:tcPr>
          <w:p>
            <w:r>
              <w:rPr>
                <w:rFonts w:ascii="Arial" w:cs="Arial" w:eastAsia="Arial" w:hAnsi="Arial"/>
                <w:b/>
                <w:bCs/>
                <w:color w:val="1B5E20"/>
                <w:sz w:val="20"/>
                <w:szCs w:val="20"/>
              </w:rPr>
              <w:t xml:space="preserve">SAY   </w:t>
            </w:r>
            <w:r>
              <w:rPr>
                <w:rFonts w:ascii="Arial" w:cs="Arial" w:eastAsia="Arial" w:hAnsi="Arial"/>
                <w:color w:val="1A1A1A"/>
                <w:sz w:val="20"/>
                <w:szCs w:val="20"/>
              </w:rPr>
              <w:t xml:space="preserve">“Umbraco 17 removed the old one-call media upload API. This is the replacement: stage the bytes first, then create the media node referencing them.”</w:t>
            </w:r>
          </w:p>
        </w:tc>
      </w:tr>
    </w:tbl>
    <w:p>
      <w:pPr>
        <w:pBdr>
          <w:top w:val="single" w:color="C5D5E8" w:sz="1"/>
          <w:bottom w:val="none" w:color="FFFFFF" w:sz="0"/>
          <w:left w:val="single" w:color="2E75B6" w:sz="6"/>
          <w:right w:val="single" w:color="C5D5E8" w:sz="1"/>
        </w:pBdr>
        <w:shd w:fill="F0F4F8" w:val="clear"/>
        <w:spacing w:after="0" w:before="80" w:line="240"/>
        <w:ind w:left="240"/>
      </w:pPr>
      <w:r>
        <w:rPr>
          <w:rFonts w:ascii="Courier New" w:cs="Courier New" w:eastAsia="Courier New" w:hAnsi="Courier New"/>
          <w:color w:val="1E3A5F"/>
          <w:sz w:val="18"/>
          <w:szCs w:val="18"/>
        </w:rPr>
        <w:t xml:space="preserve">// Step 1 — stage the raw bytes as a temporary file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var tempModel = new CreateTemporaryFileModel</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Key            = Guid.NewGuid(),   // caller-supplied; Guid.Empty is rejected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FileName       = img.FileName,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OpenReadStream = () =&gt; new MemoryStream(bytes),</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var tempResult = await _temporaryFileService.CreateAsync(tempModel);</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Step 2 — resolve the built-in "Image" media type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IMediaType? imageType = _mediaTypeService.Get(Constants.Conventions.MediaTypes.Image);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Step 3 — create the media node, referencing the temp file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var mediaCreateModel = new MediaCreateModel</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Key            = Guid.NewGuid(),</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ContentTypeKey = imageType.Key,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ParentKey      = Constants.System.RootKey,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Variants       = [new VariantModel { Name = img.FileName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Properties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new PropertyValueModel</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Alias = "umbracoFile",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Plain JSON STRING, not a JsonElement — Umbraco's image cropper</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value editor uses Newtonsoft internally and can't parse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 System.Text.Json.JsonElement.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Value = JsonSerializer.Serialize(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new { temporaryFileId = tempResult.Result!.Key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var mediaResult = await _mediaEditingService.CreateAsync(</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mediaCreateModel, Constants.Security.SuperUserKey);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Step 4 — point the content's MediaPicker3 property at the new media node</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string pickerJson = JsonSerializer.Serialize(new[]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new { key = Guid.NewGuid(), mediaKey = mediaResult.Result.Content!.Key,</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mediaTypeAlias = "Image", crops = Array.Empty&lt;object&gt;(),</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          focalPoint = (object?)null }</w:t>
      </w:r>
    </w:p>
    <w:p>
      <w:pPr>
        <w:pBdr>
          <w:top w:val="none" w:color="FFFFFF" w:sz="0"/>
          <w:bottom w:val="none" w:color="FFFFFF" w:sz="0"/>
          <w:left w:val="single" w:color="2E75B6" w:sz="6"/>
          <w:right w:val="single" w:color="C5D5E8" w:sz="1"/>
        </w:pBdr>
        <w:shd w:fill="F0F4F8" w:val="clear"/>
        <w:spacing w:after="0" w:before="0" w:line="240"/>
        <w:ind w:left="240"/>
      </w:pPr>
      <w:r>
        <w:rPr>
          <w:rFonts w:ascii="Courier New" w:cs="Courier New" w:eastAsia="Courier New" w:hAnsi="Courier New"/>
          <w:color w:val="1E3A5F"/>
          <w:sz w:val="18"/>
          <w:szCs w:val="18"/>
        </w:rPr>
        <w:t xml:space="preserve">});</w:t>
      </w:r>
    </w:p>
    <w:p>
      <w:pPr>
        <w:pBdr>
          <w:top w:val="none" w:color="FFFFFF" w:sz="0"/>
          <w:bottom w:val="single" w:color="C5D5E8" w:sz="1"/>
          <w:left w:val="single" w:color="2E75B6" w:sz="6"/>
          <w:right w:val="single" w:color="C5D5E8" w:sz="1"/>
        </w:pBdr>
        <w:shd w:fill="F0F4F8" w:val="clear"/>
        <w:spacing w:after="80" w:before="0" w:line="240"/>
        <w:ind w:left="240"/>
      </w:pPr>
      <w:r>
        <w:rPr>
          <w:rFonts w:ascii="Courier New" w:cs="Courier New" w:eastAsia="Courier New" w:hAnsi="Courier New"/>
          <w:color w:val="1E3A5F"/>
          <w:sz w:val="18"/>
          <w:szCs w:val="18"/>
        </w:rPr>
        <w:t xml:space="preserve">content.SetValue(img.PropertyAlias, pickerJson, culture: isCultureVariant ? culture : null);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00"/>
              <w:left w:type="dxa" w:w="200"/>
              <w:bottom w:type="dxa" w:w="100"/>
              <w:right w:type="dxa" w:w="200"/>
            </w:tcMar>
          </w:tcPr>
          <w:p>
            <w:r>
              <w:rPr>
                <w:rFonts w:ascii="Arial" w:cs="Arial" w:eastAsia="Arial" w:hAnsi="Arial"/>
                <w:b/>
                <w:bCs/>
                <w:color w:val="B45309"/>
                <w:sz w:val="20"/>
                <w:szCs w:val="20"/>
              </w:rPr>
              <w:t xml:space="preserve">NOTE   </w:t>
            </w:r>
            <w:r>
              <w:rPr>
                <w:rFonts w:ascii="Arial" w:cs="Arial" w:eastAsia="Arial" w:hAnsi="Arial"/>
                <w:color w:val="1A1A1A"/>
                <w:sz w:val="20"/>
                <w:szCs w:val="20"/>
              </w:rPr>
              <w:t xml:space="preserve">If asked "why four steps instead of one upload call": Umbraco 17 removed IMediaFileManager.SetValue(), the old single-call API. You can no longer create a media node with a file already attached in one call — bytes must be staged first, then referenced by ID.</w:t>
            </w:r>
          </w:p>
        </w:tc>
      </w:tr>
    </w:tbl>
    <w:p>
      <w:pPr>
        <w:spacing w:after="8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D4E8" w:sz="4" w:space="2"/>
      </w:pBdr>
      <w:spacing w:before="80"/>
    </w:pPr>
    <w:r>
      <w:rPr>
        <w:rFonts w:ascii="Arial" w:cs="Arial" w:eastAsia="Arial" w:hAnsi="Arial"/>
        <w:color w:val="555555"/>
        <w:sz w:val="16"/>
        <w:szCs w:val="16"/>
      </w:rPr>
      <w:t xml:space="preserve">Limbo ApS  ·  Internal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D4E8" w:sz="4" w:space="2"/>
      </w:pBdr>
      <w:spacing w:after="80"/>
    </w:pPr>
    <w:r>
      <w:rPr>
        <w:rFonts w:ascii="Arial" w:cs="Arial" w:eastAsia="Arial" w:hAnsi="Arial"/>
        <w:color w:val="555555"/>
        <w:sz w:val="18"/>
        <w:szCs w:val="18"/>
      </w:rPr>
      <w:t xml:space="preserve">Limbo.Umbraco.AI — Demo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E3A5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2026-08-03T09:49:56.758Z</dcterms:created>
  <dcterms:modified xsi:type="dcterms:W3CDTF">2026-08-03T09:49:56.769Z</dcterms:modified>
</cp:coreProperties>
</file>

<file path=docProps/custom.xml><?xml version="1.0" encoding="utf-8"?>
<Properties xmlns="http://schemas.openxmlformats.org/officeDocument/2006/custom-properties" xmlns:vt="http://schemas.openxmlformats.org/officeDocument/2006/docPropsVTypes"/>
</file>