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B313D" w14:textId="2F9DF70D" w:rsidR="003C005F" w:rsidRPr="005937C9" w:rsidRDefault="003C005F" w:rsidP="003C005F">
      <w:pPr>
        <w:rPr>
          <w:lang w:val="en-US"/>
        </w:rPr>
      </w:pPr>
      <w:r w:rsidRPr="003C005F">
        <w:rPr>
          <w:lang w:val="en-US"/>
        </w:rPr>
        <w:t>First</w:t>
      </w:r>
      <w:r>
        <w:rPr>
          <w:lang w:val="en-US"/>
        </w:rPr>
        <w:t>, we define odds:</w:t>
      </w:r>
      <w:r w:rsidRPr="003C005F">
        <w:rPr>
          <w:lang w:val="en-US"/>
        </w:rPr>
        <w:t xml:space="preserve"> </w:t>
      </w:r>
      <w:r w:rsidRPr="003C005F">
        <w:rPr>
          <w:rFonts w:ascii="Cambria Math" w:hAnsi="Cambria Math"/>
          <w:i/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o</m:t>
          </m:r>
          <m:r>
            <w:rPr>
              <w:rFonts w:ascii="Cambria Math" w:hAnsi="Cambria Math"/>
              <w:lang w:val="en-US"/>
            </w:rPr>
            <m:t>dds=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1-p</m:t>
              </m:r>
            </m:den>
          </m:f>
        </m:oMath>
      </m:oMathPara>
    </w:p>
    <w:p w14:paraId="633C854C" w14:textId="388D07C3" w:rsidR="003C005F" w:rsidRDefault="003C005F">
      <w:pPr>
        <w:rPr>
          <w:b/>
          <w:bCs/>
          <w:lang w:val="en-US"/>
        </w:rPr>
      </w:pPr>
      <w:r>
        <w:rPr>
          <w:lang w:val="en-US"/>
        </w:rPr>
        <w:t>where p is the chance of a successful outcome. In words, odds are the ratio between successful and unsuccessful outcomes.</w:t>
      </w:r>
    </w:p>
    <w:p w14:paraId="1C853B9A" w14:textId="7241D95C" w:rsidR="005937C9" w:rsidRPr="00E97187" w:rsidRDefault="00E97187">
      <w:pPr>
        <w:rPr>
          <w:b/>
          <w:bCs/>
          <w:lang w:val="en-US"/>
        </w:rPr>
      </w:pPr>
      <w:r w:rsidRPr="00E97187">
        <w:rPr>
          <w:b/>
          <w:bCs/>
          <w:lang w:val="en-US"/>
        </w:rPr>
        <w:t xml:space="preserve">Some numbers: </w:t>
      </w:r>
    </w:p>
    <w:p w14:paraId="296F620C" w14:textId="2F89C4B0" w:rsidR="00E97187" w:rsidRDefault="00651466" w:rsidP="00E971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3C005F">
        <w:rPr>
          <w:lang w:val="en-US"/>
        </w:rPr>
        <w:t>odds</w:t>
      </w:r>
      <w:r>
        <w:rPr>
          <w:lang w:val="en-US"/>
        </w:rPr>
        <w:t xml:space="preserve"> of </w:t>
      </w:r>
      <w:r w:rsidR="006E78DF">
        <w:rPr>
          <w:lang w:val="en-US"/>
        </w:rPr>
        <w:t xml:space="preserve">tag </w:t>
      </w:r>
      <w:r>
        <w:rPr>
          <w:lang w:val="en-US"/>
        </w:rPr>
        <w:t>recover</w:t>
      </w:r>
      <w:r w:rsidR="006E78DF">
        <w:rPr>
          <w:lang w:val="en-US"/>
        </w:rPr>
        <w:t xml:space="preserve">y are </w:t>
      </w:r>
      <w:r w:rsidR="008B5830">
        <w:rPr>
          <w:lang w:val="en-US"/>
        </w:rPr>
        <w:t>37.1</w:t>
      </w:r>
      <w:r w:rsidR="006E78DF" w:rsidRPr="00E97187">
        <w:rPr>
          <w:lang w:val="en-US"/>
        </w:rPr>
        <w:t xml:space="preserve"> % higher </w:t>
      </w:r>
      <w:r w:rsidR="006E78DF">
        <w:rPr>
          <w:lang w:val="en-US"/>
        </w:rPr>
        <w:t>for</w:t>
      </w:r>
      <w:r>
        <w:rPr>
          <w:lang w:val="en-US"/>
        </w:rPr>
        <w:t xml:space="preserve"> </w:t>
      </w:r>
      <w:r w:rsidR="00E97187" w:rsidRPr="00E97187">
        <w:rPr>
          <w:lang w:val="en-US"/>
        </w:rPr>
        <w:t>23 mm tag</w:t>
      </w:r>
      <w:r w:rsidR="006E78DF">
        <w:rPr>
          <w:lang w:val="en-US"/>
        </w:rPr>
        <w:t xml:space="preserve">s compared to </w:t>
      </w:r>
      <w:r w:rsidR="00E97187" w:rsidRPr="00E97187">
        <w:rPr>
          <w:lang w:val="en-US"/>
        </w:rPr>
        <w:t xml:space="preserve">14 mm </w:t>
      </w:r>
      <w:r w:rsidR="006E78DF">
        <w:rPr>
          <w:lang w:val="en-US"/>
        </w:rPr>
        <w:br/>
      </w:r>
      <w:r w:rsidR="00E97187" w:rsidRPr="00E97187">
        <w:rPr>
          <w:lang w:val="en-US"/>
        </w:rPr>
        <w:t>(p = 0.00</w:t>
      </w:r>
      <w:r w:rsidR="008B5830">
        <w:rPr>
          <w:lang w:val="en-US"/>
        </w:rPr>
        <w:t>03</w:t>
      </w:r>
      <w:r w:rsidR="00E97187" w:rsidRPr="00E97187">
        <w:rPr>
          <w:lang w:val="en-US"/>
        </w:rPr>
        <w:t xml:space="preserve">), all other parameters being equal. </w:t>
      </w:r>
    </w:p>
    <w:p w14:paraId="6CFD9D1F" w14:textId="1C17F545" w:rsidR="006E78DF" w:rsidRDefault="006E78DF" w:rsidP="006E78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odds of </w:t>
      </w:r>
      <w:r>
        <w:rPr>
          <w:lang w:val="en-US"/>
        </w:rPr>
        <w:t xml:space="preserve">tag </w:t>
      </w:r>
      <w:r>
        <w:rPr>
          <w:lang w:val="en-US"/>
        </w:rPr>
        <w:t xml:space="preserve">recovery </w:t>
      </w:r>
      <w:r>
        <w:rPr>
          <w:lang w:val="en-US"/>
        </w:rPr>
        <w:t>were</w:t>
      </w:r>
      <w:r>
        <w:rPr>
          <w:lang w:val="en-US"/>
        </w:rPr>
        <w:t xml:space="preserve"> </w:t>
      </w:r>
      <w:r>
        <w:rPr>
          <w:lang w:val="en-US"/>
        </w:rPr>
        <w:t>2</w:t>
      </w:r>
      <w:r w:rsidR="008B5830">
        <w:rPr>
          <w:lang w:val="en-US"/>
        </w:rPr>
        <w:t>1.9</w:t>
      </w:r>
      <w:r w:rsidRPr="00E97187">
        <w:rPr>
          <w:lang w:val="en-US"/>
        </w:rPr>
        <w:t xml:space="preserve"> % </w:t>
      </w:r>
      <w:r>
        <w:rPr>
          <w:lang w:val="en-US"/>
        </w:rPr>
        <w:t>lower in 2024</w:t>
      </w:r>
      <w:r>
        <w:rPr>
          <w:lang w:val="en-US"/>
        </w:rPr>
        <w:t xml:space="preserve"> compared to </w:t>
      </w:r>
      <w:r>
        <w:rPr>
          <w:lang w:val="en-US"/>
        </w:rPr>
        <w:t>2022</w:t>
      </w:r>
      <w:r w:rsidRPr="00E97187">
        <w:rPr>
          <w:lang w:val="en-US"/>
        </w:rPr>
        <w:t xml:space="preserve"> </w:t>
      </w:r>
      <w:r>
        <w:rPr>
          <w:lang w:val="en-US"/>
        </w:rPr>
        <w:br/>
      </w:r>
      <w:r w:rsidRPr="00E97187">
        <w:rPr>
          <w:lang w:val="en-US"/>
        </w:rPr>
        <w:t>(p = 0.00</w:t>
      </w:r>
      <w:r w:rsidR="008B5830">
        <w:rPr>
          <w:lang w:val="en-US"/>
        </w:rPr>
        <w:t>2</w:t>
      </w:r>
      <w:r w:rsidRPr="00E97187">
        <w:rPr>
          <w:lang w:val="en-US"/>
        </w:rPr>
        <w:t xml:space="preserve">), all other parameters being equal. </w:t>
      </w:r>
    </w:p>
    <w:p w14:paraId="134EC51F" w14:textId="4145E62D" w:rsidR="00E97187" w:rsidRDefault="00E97187" w:rsidP="00E971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Release location has no effect on </w:t>
      </w:r>
      <w:r w:rsidRPr="00E97187">
        <w:rPr>
          <w:lang w:val="en-US"/>
        </w:rPr>
        <w:t>recovery probability</w:t>
      </w:r>
      <w:r>
        <w:rPr>
          <w:lang w:val="en-US"/>
        </w:rPr>
        <w:t xml:space="preserve"> (p = 0.7</w:t>
      </w:r>
      <w:r w:rsidR="005B2A0B">
        <w:rPr>
          <w:lang w:val="en-US"/>
        </w:rPr>
        <w:t>7</w:t>
      </w:r>
      <w:r>
        <w:rPr>
          <w:lang w:val="en-US"/>
        </w:rPr>
        <w:t>)</w:t>
      </w:r>
    </w:p>
    <w:p w14:paraId="45D86F81" w14:textId="16917940" w:rsidR="008B5830" w:rsidRDefault="006E78DF" w:rsidP="008B5830">
      <w:pPr>
        <w:pStyle w:val="ListParagraph"/>
        <w:numPr>
          <w:ilvl w:val="0"/>
          <w:numId w:val="1"/>
        </w:numPr>
        <w:rPr>
          <w:lang w:val="en-US"/>
        </w:rPr>
      </w:pPr>
      <w:r w:rsidRPr="006E78DF">
        <w:rPr>
          <w:lang w:val="en-US"/>
        </w:rPr>
        <w:t>Effect of release month:</w:t>
      </w:r>
    </w:p>
    <w:p w14:paraId="703B1CD4" w14:textId="5AA1FFDE" w:rsidR="008B5830" w:rsidRPr="00EA0AA6" w:rsidRDefault="008B5830" w:rsidP="008B5830">
      <w:pPr>
        <w:pStyle w:val="Caption"/>
        <w:keepNext/>
        <w:numPr>
          <w:ilvl w:val="0"/>
          <w:numId w:val="2"/>
        </w:numPr>
        <w:rPr>
          <w:lang w:val="en-US"/>
        </w:rPr>
      </w:pPr>
      <w:r w:rsidRPr="00EA0AA6">
        <w:rPr>
          <w:lang w:val="en-US"/>
        </w:rPr>
        <w:t xml:space="preserve">Table </w:t>
      </w:r>
      <w:r>
        <w:fldChar w:fldCharType="begin"/>
      </w:r>
      <w:r w:rsidRPr="00EA0AA6">
        <w:rPr>
          <w:lang w:val="en-US"/>
        </w:rPr>
        <w:instrText xml:space="preserve"> SEQ Table \* ARABIC </w:instrText>
      </w:r>
      <w:r>
        <w:fldChar w:fldCharType="separate"/>
      </w:r>
      <w:r w:rsidRPr="00EA0AA6">
        <w:rPr>
          <w:noProof/>
          <w:lang w:val="en-US"/>
        </w:rPr>
        <w:t>1</w:t>
      </w:r>
      <w:r>
        <w:fldChar w:fldCharType="end"/>
      </w:r>
      <w:r w:rsidRPr="00EA0AA6">
        <w:rPr>
          <w:lang w:val="en-US"/>
        </w:rPr>
        <w:t>. Change in recovery o</w:t>
      </w:r>
      <w:r>
        <w:rPr>
          <w:lang w:val="en-US"/>
        </w:rPr>
        <w:t>dds from release in March. Confidence intervals in brackets.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63"/>
        <w:gridCol w:w="2127"/>
        <w:gridCol w:w="2268"/>
        <w:gridCol w:w="2409"/>
      </w:tblGrid>
      <w:tr w:rsidR="008B5830" w14:paraId="312ACB08" w14:textId="77777777" w:rsidTr="00F57A7A">
        <w:tc>
          <w:tcPr>
            <w:tcW w:w="2263" w:type="dxa"/>
          </w:tcPr>
          <w:p w14:paraId="26CDE9F4" w14:textId="77777777" w:rsidR="008B5830" w:rsidRDefault="008B5830" w:rsidP="00F57A7A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</w:tcPr>
          <w:p w14:paraId="4494EFB6" w14:textId="77777777" w:rsidR="008B5830" w:rsidRDefault="008B5830" w:rsidP="00F57A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April</w:t>
            </w:r>
          </w:p>
        </w:tc>
        <w:tc>
          <w:tcPr>
            <w:tcW w:w="2268" w:type="dxa"/>
          </w:tcPr>
          <w:p w14:paraId="20BCEA31" w14:textId="77777777" w:rsidR="008B5830" w:rsidRDefault="008B5830" w:rsidP="00F57A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May</w:t>
            </w:r>
          </w:p>
        </w:tc>
        <w:tc>
          <w:tcPr>
            <w:tcW w:w="2409" w:type="dxa"/>
          </w:tcPr>
          <w:p w14:paraId="0A7121CF" w14:textId="77777777" w:rsidR="008B5830" w:rsidRDefault="008B5830" w:rsidP="00F57A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June</w:t>
            </w:r>
          </w:p>
        </w:tc>
      </w:tr>
      <w:tr w:rsidR="008B5830" w14:paraId="71964228" w14:textId="77777777" w:rsidTr="00F57A7A">
        <w:tc>
          <w:tcPr>
            <w:tcW w:w="2263" w:type="dxa"/>
          </w:tcPr>
          <w:p w14:paraId="51BBBAA9" w14:textId="77777777" w:rsidR="008B5830" w:rsidRDefault="008B5830" w:rsidP="00F57A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Recovery odds </w:t>
            </w:r>
            <w:r>
              <w:rPr>
                <w:lang w:val="en-US"/>
              </w:rPr>
              <w:br/>
              <w:t>compared to March</w:t>
            </w:r>
          </w:p>
        </w:tc>
        <w:tc>
          <w:tcPr>
            <w:tcW w:w="2127" w:type="dxa"/>
          </w:tcPr>
          <w:p w14:paraId="29F4CD8C" w14:textId="77777777" w:rsidR="008B5830" w:rsidRDefault="008B5830" w:rsidP="00F57A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+28.9 % </w:t>
            </w:r>
            <w:r>
              <w:rPr>
                <w:lang w:val="en-US"/>
              </w:rPr>
              <w:br/>
              <w:t>[+6.7 %, +55.7 %]</w:t>
            </w:r>
          </w:p>
        </w:tc>
        <w:tc>
          <w:tcPr>
            <w:tcW w:w="2268" w:type="dxa"/>
          </w:tcPr>
          <w:p w14:paraId="2F7E39C5" w14:textId="77777777" w:rsidR="008B5830" w:rsidRDefault="008B5830" w:rsidP="00F57A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+33.8 % </w:t>
            </w:r>
            <w:r>
              <w:rPr>
                <w:lang w:val="en-US"/>
              </w:rPr>
              <w:br/>
              <w:t>[+12.0 %, +59.9 %]</w:t>
            </w:r>
          </w:p>
        </w:tc>
        <w:tc>
          <w:tcPr>
            <w:tcW w:w="2409" w:type="dxa"/>
          </w:tcPr>
          <w:p w14:paraId="187B001A" w14:textId="19A2C3C8" w:rsidR="008B5830" w:rsidRDefault="007C3E70" w:rsidP="00F57A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8B5830">
              <w:rPr>
                <w:lang w:val="en-US"/>
              </w:rPr>
              <w:t xml:space="preserve">0.7 % </w:t>
            </w:r>
          </w:p>
          <w:p w14:paraId="41BFAE80" w14:textId="77777777" w:rsidR="008B5830" w:rsidRDefault="008B5830" w:rsidP="00F57A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[-19.1 %, +25.2 %] </w:t>
            </w:r>
          </w:p>
        </w:tc>
      </w:tr>
    </w:tbl>
    <w:p w14:paraId="603EAECB" w14:textId="77777777" w:rsidR="008B5830" w:rsidRDefault="008B5830" w:rsidP="008B5830">
      <w:pPr>
        <w:rPr>
          <w:lang w:val="en-US"/>
        </w:rPr>
      </w:pPr>
    </w:p>
    <w:p w14:paraId="121EC023" w14:textId="7384F938" w:rsidR="008B5830" w:rsidRDefault="008B5830" w:rsidP="008B58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define a low nesting period (March and June) and a high nesting period (April and May). The odds of tag recovery </w:t>
      </w:r>
      <w:r w:rsidR="007A1B97">
        <w:rPr>
          <w:lang w:val="en-US"/>
        </w:rPr>
        <w:t>are</w:t>
      </w:r>
      <w:r>
        <w:rPr>
          <w:lang w:val="en-US"/>
        </w:rPr>
        <w:t xml:space="preserve"> 30.9 % lower in the less nesting period compared to the high nesting period (p = 0.0001</w:t>
      </w:r>
      <w:r w:rsidR="007A1B97">
        <w:rPr>
          <w:lang w:val="en-US"/>
        </w:rPr>
        <w:t>).</w:t>
      </w:r>
    </w:p>
    <w:p w14:paraId="7D47555D" w14:textId="64EDD1CE" w:rsidR="007A1B97" w:rsidRDefault="007A1B97" w:rsidP="008B58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Graph comparing species, year, and nesting intensity. </w:t>
      </w:r>
      <w:r w:rsidR="00036742">
        <w:rPr>
          <w:lang w:val="en-US"/>
        </w:rPr>
        <w:t xml:space="preserve">This includes the multiplication from the feeding experiment. We have to talk about whether it is okay that our estimates exceed 1. </w:t>
      </w:r>
      <w:r w:rsidR="00474656">
        <w:rPr>
          <w:lang w:val="en-US"/>
        </w:rPr>
        <w:t>Error bars are 1SE.</w:t>
      </w:r>
    </w:p>
    <w:p w14:paraId="31243017" w14:textId="77777777" w:rsidR="007A1B97" w:rsidRDefault="007A1B97" w:rsidP="007A1B97">
      <w:pPr>
        <w:rPr>
          <w:lang w:val="en-US"/>
        </w:rPr>
      </w:pPr>
    </w:p>
    <w:p w14:paraId="5BF36A74" w14:textId="71B60A3F" w:rsidR="007A1B97" w:rsidRPr="007A1B97" w:rsidRDefault="00474656" w:rsidP="007A1B9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B3F8C9" wp14:editId="79CB9420">
            <wp:extent cx="5731510" cy="4585335"/>
            <wp:effectExtent l="0" t="0" r="2540" b="5715"/>
            <wp:docPr id="102650606" name="Picture 3" descr="A graph of different types of pla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0606" name="Picture 3" descr="A graph of different types of plant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B72D" w14:textId="53559268" w:rsidR="008335B0" w:rsidRDefault="008335B0" w:rsidP="00E97187">
      <w:pPr>
        <w:rPr>
          <w:lang w:val="en-US"/>
        </w:rPr>
      </w:pPr>
    </w:p>
    <w:p w14:paraId="14DE7487" w14:textId="02310EE5" w:rsidR="008335B0" w:rsidRPr="008B5830" w:rsidRDefault="008335B0" w:rsidP="008B5830">
      <w:pPr>
        <w:pStyle w:val="ListParagraph"/>
        <w:numPr>
          <w:ilvl w:val="0"/>
          <w:numId w:val="1"/>
        </w:numPr>
        <w:rPr>
          <w:lang w:val="en-US"/>
        </w:rPr>
      </w:pPr>
      <w:r w:rsidRPr="008B5830">
        <w:rPr>
          <w:lang w:val="en-US"/>
        </w:rPr>
        <w:br w:type="page"/>
      </w:r>
    </w:p>
    <w:p w14:paraId="0116660C" w14:textId="77777777" w:rsidR="00E97187" w:rsidRPr="00E97187" w:rsidRDefault="00E97187" w:rsidP="00E97187">
      <w:pPr>
        <w:rPr>
          <w:lang w:val="en-US"/>
        </w:rPr>
      </w:pPr>
    </w:p>
    <w:sectPr w:rsidR="00E97187" w:rsidRPr="00E97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85118"/>
    <w:multiLevelType w:val="hybridMultilevel"/>
    <w:tmpl w:val="E15E689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234A9"/>
    <w:multiLevelType w:val="hybridMultilevel"/>
    <w:tmpl w:val="0F0231B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497147">
    <w:abstractNumId w:val="0"/>
  </w:num>
  <w:num w:numId="2" w16cid:durableId="81920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C9"/>
    <w:rsid w:val="00036742"/>
    <w:rsid w:val="003C005F"/>
    <w:rsid w:val="00422938"/>
    <w:rsid w:val="00474656"/>
    <w:rsid w:val="005937C9"/>
    <w:rsid w:val="005B2A0B"/>
    <w:rsid w:val="00651466"/>
    <w:rsid w:val="006E78DF"/>
    <w:rsid w:val="006F59A1"/>
    <w:rsid w:val="007A1B97"/>
    <w:rsid w:val="007C3E70"/>
    <w:rsid w:val="007F3407"/>
    <w:rsid w:val="008335B0"/>
    <w:rsid w:val="008B5830"/>
    <w:rsid w:val="00E73E0A"/>
    <w:rsid w:val="00E97187"/>
    <w:rsid w:val="00EA0AA6"/>
    <w:rsid w:val="00FE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A7960"/>
  <w15:chartTrackingRefBased/>
  <w15:docId w15:val="{29F3D868-76A1-4439-9284-0D06AE43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7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7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7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7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7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2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3E0A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EA0AA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2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6063</TotalTime>
  <Pages>3</Pages>
  <Words>166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UNIVERSITY OF DENMARK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Varlund Strange</dc:creator>
  <cp:keywords/>
  <dc:description/>
  <cp:lastModifiedBy>Markus Varlund Strange</cp:lastModifiedBy>
  <cp:revision>2</cp:revision>
  <dcterms:created xsi:type="dcterms:W3CDTF">2025-04-22T08:43:00Z</dcterms:created>
  <dcterms:modified xsi:type="dcterms:W3CDTF">2025-04-30T13:29:00Z</dcterms:modified>
</cp:coreProperties>
</file>