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9BE" w:rsidRPr="004A19BE" w:rsidRDefault="004A19BE" w:rsidP="004A19BE">
      <w:pPr>
        <w:spacing w:before="100" w:beforeAutospacing="1" w:after="100" w:afterAutospacing="1" w:line="240" w:lineRule="auto"/>
        <w:outlineLvl w:val="1"/>
        <w:rPr>
          <w:rFonts w:ascii="Times New Roman" w:eastAsia="Times New Roman" w:hAnsi="Times New Roman" w:cs="Times New Roman"/>
          <w:b/>
          <w:bCs/>
          <w:sz w:val="36"/>
          <w:szCs w:val="36"/>
        </w:rPr>
      </w:pPr>
      <w:r w:rsidRPr="00022549">
        <w:rPr>
          <w:rFonts w:ascii="Times New Roman" w:eastAsia="Times New Roman" w:hAnsi="Times New Roman" w:cs="Times New Roman"/>
          <w:b/>
          <w:bCs/>
          <w:sz w:val="36"/>
          <w:szCs w:val="36"/>
        </w:rPr>
        <w:t xml:space="preserve">Rentokil Initial </w:t>
      </w:r>
      <w:r w:rsidR="00022549" w:rsidRPr="00022549">
        <w:rPr>
          <w:rFonts w:ascii="Times New Roman" w:eastAsia="Times New Roman" w:hAnsi="Times New Roman" w:cs="Times New Roman"/>
          <w:b/>
          <w:bCs/>
          <w:sz w:val="36"/>
          <w:szCs w:val="36"/>
        </w:rPr>
        <w:t>-</w:t>
      </w:r>
      <w:r w:rsidRPr="00022549">
        <w:rPr>
          <w:rFonts w:ascii="Times New Roman" w:eastAsia="Times New Roman" w:hAnsi="Times New Roman" w:cs="Times New Roman"/>
          <w:b/>
          <w:bCs/>
          <w:sz w:val="36"/>
          <w:szCs w:val="36"/>
        </w:rPr>
        <w:t xml:space="preserve"> </w:t>
      </w:r>
      <w:r w:rsidRPr="00022549">
        <w:rPr>
          <w:rFonts w:ascii="Times New Roman" w:eastAsia="Times New Roman" w:hAnsi="Times New Roman" w:cs="Times New Roman"/>
          <w:b/>
          <w:bCs/>
          <w:sz w:val="24"/>
          <w:szCs w:val="24"/>
        </w:rPr>
        <w:t>(</w:t>
      </w:r>
      <w:r w:rsidRPr="004A19BE">
        <w:rPr>
          <w:rFonts w:ascii="Times New Roman" w:eastAsia="Times New Roman" w:hAnsi="Times New Roman" w:cs="Times New Roman"/>
          <w:b/>
          <w:bCs/>
          <w:sz w:val="24"/>
          <w:szCs w:val="24"/>
        </w:rPr>
        <w:t>Company Analysis</w:t>
      </w:r>
      <w:r w:rsidRPr="00022549">
        <w:rPr>
          <w:rFonts w:ascii="Times New Roman" w:eastAsia="Times New Roman" w:hAnsi="Times New Roman" w:cs="Times New Roman"/>
          <w:b/>
          <w:bCs/>
          <w:sz w:val="24"/>
          <w:szCs w:val="24"/>
        </w:rPr>
        <w:t>)</w:t>
      </w:r>
    </w:p>
    <w:p w:rsidR="00F46F91" w:rsidRPr="00022549" w:rsidRDefault="004A19BE" w:rsidP="004A19BE">
      <w:pPr>
        <w:spacing w:before="100" w:beforeAutospacing="1" w:after="100" w:afterAutospacing="1" w:line="240" w:lineRule="auto"/>
        <w:outlineLvl w:val="3"/>
        <w:rPr>
          <w:rFonts w:ascii="Times New Roman" w:eastAsia="Times New Roman" w:hAnsi="Times New Roman" w:cs="Times New Roman"/>
          <w:b/>
          <w:bCs/>
          <w:sz w:val="24"/>
          <w:szCs w:val="24"/>
        </w:rPr>
      </w:pPr>
      <w:r w:rsidRPr="004A19BE">
        <w:rPr>
          <w:rFonts w:ascii="Times New Roman" w:eastAsia="Times New Roman" w:hAnsi="Times New Roman" w:cs="Times New Roman"/>
          <w:b/>
          <w:bCs/>
          <w:sz w:val="24"/>
          <w:szCs w:val="24"/>
        </w:rPr>
        <w:t>Based on the Annual Report 2025 (Year ended 31 December 2025)</w:t>
      </w:r>
    </w:p>
    <w:p w:rsidR="004A19BE" w:rsidRPr="00022549" w:rsidRDefault="004A19BE" w:rsidP="004A19BE">
      <w:pPr>
        <w:pBdr>
          <w:top w:val="single" w:sz="4"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rsidR="004A19BE" w:rsidRPr="00022549" w:rsidRDefault="004A19BE" w:rsidP="004A19BE">
      <w:pPr>
        <w:pStyle w:val="Heading3"/>
        <w:rPr>
          <w:rFonts w:ascii="Times New Roman" w:hAnsi="Times New Roman" w:cs="Times New Roman"/>
        </w:rPr>
      </w:pPr>
      <w:r w:rsidRPr="00022549">
        <w:rPr>
          <w:rFonts w:ascii="Times New Roman" w:hAnsi="Times New Roman" w:cs="Times New Roman"/>
        </w:rPr>
        <w:t>The Three Key Numbers</w:t>
      </w:r>
    </w:p>
    <w:p w:rsidR="004A19BE" w:rsidRPr="00022549" w:rsidRDefault="004A19BE" w:rsidP="004A19BE">
      <w:pPr>
        <w:pStyle w:val="font-claude-response-body"/>
      </w:pPr>
      <w:r w:rsidRPr="00022549">
        <w:t xml:space="preserve">From Rentokil Initial </w:t>
      </w:r>
      <w:r w:rsidR="00300F79" w:rsidRPr="00022549">
        <w:t>Annual report</w:t>
      </w:r>
      <w:r w:rsidRPr="00022549">
        <w:t>:</w:t>
      </w:r>
    </w:p>
    <w:tbl>
      <w:tblPr>
        <w:tblW w:w="93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4"/>
        <w:gridCol w:w="1588"/>
        <w:gridCol w:w="1565"/>
        <w:gridCol w:w="1478"/>
      </w:tblGrid>
      <w:tr w:rsidR="007A7C53" w:rsidRPr="007A7C53" w:rsidTr="004A19BE">
        <w:trPr>
          <w:trHeight w:val="456"/>
          <w:tblHeader/>
          <w:tblCellSpacing w:w="15" w:type="dxa"/>
        </w:trPr>
        <w:tc>
          <w:tcPr>
            <w:tcW w:w="0" w:type="auto"/>
            <w:vAlign w:val="center"/>
            <w:hideMark/>
          </w:tcPr>
          <w:p w:rsidR="004A19BE" w:rsidRPr="007A7C53" w:rsidRDefault="004A19BE">
            <w:pPr>
              <w:jc w:val="center"/>
              <w:rPr>
                <w:rFonts w:ascii="Times New Roman" w:hAnsi="Times New Roman" w:cs="Times New Roman"/>
                <w:b/>
                <w:bCs/>
                <w:color w:val="1F4E79" w:themeColor="accent1" w:themeShade="80"/>
              </w:rPr>
            </w:pPr>
            <w:r w:rsidRPr="007A7C53">
              <w:rPr>
                <w:rFonts w:ascii="Times New Roman" w:hAnsi="Times New Roman" w:cs="Times New Roman"/>
                <w:b/>
                <w:bCs/>
                <w:color w:val="1F4E79" w:themeColor="accent1" w:themeShade="80"/>
              </w:rPr>
              <w:t>Metric</w:t>
            </w:r>
          </w:p>
        </w:tc>
        <w:tc>
          <w:tcPr>
            <w:tcW w:w="0" w:type="auto"/>
            <w:vAlign w:val="center"/>
            <w:hideMark/>
          </w:tcPr>
          <w:p w:rsidR="004A19BE" w:rsidRPr="007A7C53" w:rsidRDefault="004A19BE">
            <w:pPr>
              <w:jc w:val="center"/>
              <w:rPr>
                <w:rFonts w:ascii="Times New Roman" w:hAnsi="Times New Roman" w:cs="Times New Roman"/>
                <w:b/>
                <w:bCs/>
                <w:color w:val="1F4E79" w:themeColor="accent1" w:themeShade="80"/>
              </w:rPr>
            </w:pPr>
            <w:r w:rsidRPr="007A7C53">
              <w:rPr>
                <w:rFonts w:ascii="Times New Roman" w:hAnsi="Times New Roman" w:cs="Times New Roman"/>
                <w:b/>
                <w:bCs/>
                <w:color w:val="1F4E79" w:themeColor="accent1" w:themeShade="80"/>
              </w:rPr>
              <w:t>2025</w:t>
            </w:r>
          </w:p>
        </w:tc>
        <w:tc>
          <w:tcPr>
            <w:tcW w:w="0" w:type="auto"/>
            <w:vAlign w:val="center"/>
            <w:hideMark/>
          </w:tcPr>
          <w:p w:rsidR="004A19BE" w:rsidRPr="007A7C53" w:rsidRDefault="004A19BE">
            <w:pPr>
              <w:jc w:val="center"/>
              <w:rPr>
                <w:rFonts w:ascii="Times New Roman" w:hAnsi="Times New Roman" w:cs="Times New Roman"/>
                <w:b/>
                <w:bCs/>
                <w:color w:val="1F4E79" w:themeColor="accent1" w:themeShade="80"/>
              </w:rPr>
            </w:pPr>
            <w:r w:rsidRPr="007A7C53">
              <w:rPr>
                <w:rFonts w:ascii="Times New Roman" w:hAnsi="Times New Roman" w:cs="Times New Roman"/>
                <w:b/>
                <w:bCs/>
                <w:color w:val="1F4E79" w:themeColor="accent1" w:themeShade="80"/>
              </w:rPr>
              <w:t>2024</w:t>
            </w:r>
          </w:p>
        </w:tc>
        <w:tc>
          <w:tcPr>
            <w:tcW w:w="0" w:type="auto"/>
            <w:vAlign w:val="center"/>
            <w:hideMark/>
          </w:tcPr>
          <w:p w:rsidR="004A19BE" w:rsidRPr="007A7C53" w:rsidRDefault="004A19BE">
            <w:pPr>
              <w:jc w:val="center"/>
              <w:rPr>
                <w:rFonts w:ascii="Times New Roman" w:hAnsi="Times New Roman" w:cs="Times New Roman"/>
                <w:b/>
                <w:bCs/>
                <w:color w:val="1F4E79" w:themeColor="accent1" w:themeShade="80"/>
              </w:rPr>
            </w:pPr>
            <w:r w:rsidRPr="007A7C53">
              <w:rPr>
                <w:rFonts w:ascii="Times New Roman" w:hAnsi="Times New Roman" w:cs="Times New Roman"/>
                <w:b/>
                <w:bCs/>
                <w:color w:val="1F4E79" w:themeColor="accent1" w:themeShade="80"/>
              </w:rPr>
              <w:t>Change</w:t>
            </w:r>
          </w:p>
        </w:tc>
      </w:tr>
      <w:tr w:rsidR="007A7C53" w:rsidRPr="007A7C53" w:rsidTr="004A19BE">
        <w:trPr>
          <w:trHeight w:val="456"/>
          <w:tblCellSpacing w:w="15" w:type="dxa"/>
        </w:trPr>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Style w:val="Strong"/>
                <w:rFonts w:ascii="Times New Roman" w:hAnsi="Times New Roman" w:cs="Times New Roman"/>
                <w:color w:val="1F4E79" w:themeColor="accent1" w:themeShade="80"/>
              </w:rPr>
              <w:t>Revenue</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Style w:val="Strong"/>
                <w:rFonts w:ascii="Times New Roman" w:hAnsi="Times New Roman" w:cs="Times New Roman"/>
                <w:color w:val="1F4E79" w:themeColor="accent1" w:themeShade="80"/>
              </w:rPr>
              <w:t>$6,908m</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Fonts w:ascii="Times New Roman" w:hAnsi="Times New Roman" w:cs="Times New Roman"/>
                <w:color w:val="1F4E79" w:themeColor="accent1" w:themeShade="80"/>
              </w:rPr>
              <w:t>$6,617m</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Fonts w:ascii="Times New Roman" w:hAnsi="Times New Roman" w:cs="Times New Roman"/>
                <w:color w:val="1F4E79" w:themeColor="accent1" w:themeShade="80"/>
              </w:rPr>
              <w:t>+4.4%</w:t>
            </w:r>
          </w:p>
        </w:tc>
      </w:tr>
      <w:tr w:rsidR="007A7C53" w:rsidRPr="007A7C53" w:rsidTr="004A19BE">
        <w:trPr>
          <w:trHeight w:val="456"/>
          <w:tblCellSpacing w:w="15" w:type="dxa"/>
        </w:trPr>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Style w:val="Strong"/>
                <w:rFonts w:ascii="Times New Roman" w:hAnsi="Times New Roman" w:cs="Times New Roman"/>
                <w:color w:val="1F4E79" w:themeColor="accent1" w:themeShade="80"/>
              </w:rPr>
              <w:t>Adjusted Operating Profit</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Style w:val="Strong"/>
                <w:rFonts w:ascii="Times New Roman" w:hAnsi="Times New Roman" w:cs="Times New Roman"/>
                <w:color w:val="1F4E79" w:themeColor="accent1" w:themeShade="80"/>
              </w:rPr>
              <w:t>$1,070m</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Fonts w:ascii="Times New Roman" w:hAnsi="Times New Roman" w:cs="Times New Roman"/>
                <w:color w:val="1F4E79" w:themeColor="accent1" w:themeShade="80"/>
              </w:rPr>
              <w:t>$1,008m</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Fonts w:ascii="Times New Roman" w:hAnsi="Times New Roman" w:cs="Times New Roman"/>
                <w:color w:val="1F4E79" w:themeColor="accent1" w:themeShade="80"/>
              </w:rPr>
              <w:t>+5.4%</w:t>
            </w:r>
          </w:p>
        </w:tc>
      </w:tr>
      <w:tr w:rsidR="007A7C53" w:rsidRPr="007A7C53" w:rsidTr="004A19BE">
        <w:trPr>
          <w:trHeight w:val="456"/>
          <w:tblCellSpacing w:w="15" w:type="dxa"/>
        </w:trPr>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Style w:val="Strong"/>
                <w:rFonts w:ascii="Times New Roman" w:hAnsi="Times New Roman" w:cs="Times New Roman"/>
                <w:color w:val="1F4E79" w:themeColor="accent1" w:themeShade="80"/>
              </w:rPr>
              <w:t>Free Cash Flow</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Style w:val="Strong"/>
                <w:rFonts w:ascii="Times New Roman" w:hAnsi="Times New Roman" w:cs="Times New Roman"/>
                <w:color w:val="1F4E79" w:themeColor="accent1" w:themeShade="80"/>
              </w:rPr>
              <w:t>$615m</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Fonts w:ascii="Times New Roman" w:hAnsi="Times New Roman" w:cs="Times New Roman"/>
                <w:color w:val="1F4E79" w:themeColor="accent1" w:themeShade="80"/>
              </w:rPr>
              <w:t>$494m</w:t>
            </w:r>
          </w:p>
        </w:tc>
        <w:tc>
          <w:tcPr>
            <w:tcW w:w="0" w:type="auto"/>
            <w:vAlign w:val="center"/>
            <w:hideMark/>
          </w:tcPr>
          <w:p w:rsidR="004A19BE" w:rsidRPr="007A7C53" w:rsidRDefault="004A19BE">
            <w:pPr>
              <w:rPr>
                <w:rFonts w:ascii="Times New Roman" w:hAnsi="Times New Roman" w:cs="Times New Roman"/>
                <w:color w:val="1F4E79" w:themeColor="accent1" w:themeShade="80"/>
              </w:rPr>
            </w:pPr>
            <w:r w:rsidRPr="007A7C53">
              <w:rPr>
                <w:rFonts w:ascii="Times New Roman" w:hAnsi="Times New Roman" w:cs="Times New Roman"/>
                <w:color w:val="1F4E79" w:themeColor="accent1" w:themeShade="80"/>
              </w:rPr>
              <w:t>+24.5%</w:t>
            </w:r>
          </w:p>
        </w:tc>
      </w:tr>
    </w:tbl>
    <w:p w:rsidR="004A19BE" w:rsidRPr="00022549" w:rsidRDefault="004A19BE" w:rsidP="004A19BE">
      <w:pPr>
        <w:pBdr>
          <w:top w:val="single" w:sz="4"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rsidR="00774D10" w:rsidRPr="00774D10" w:rsidRDefault="00774D10" w:rsidP="00774D10">
      <w:pPr>
        <w:spacing w:before="100" w:beforeAutospacing="1" w:after="100" w:afterAutospacing="1" w:line="240" w:lineRule="auto"/>
        <w:rPr>
          <w:rFonts w:ascii="Times New Roman" w:eastAsia="Times New Roman" w:hAnsi="Times New Roman" w:cs="Times New Roman"/>
          <w:sz w:val="24"/>
          <w:szCs w:val="24"/>
        </w:rPr>
      </w:pPr>
      <w:r w:rsidRPr="00022549">
        <w:rPr>
          <w:rFonts w:ascii="Times New Roman" w:eastAsia="Times New Roman" w:hAnsi="Times New Roman" w:cs="Times New Roman"/>
          <w:b/>
          <w:bCs/>
          <w:sz w:val="24"/>
          <w:szCs w:val="24"/>
        </w:rPr>
        <w:t>Quick definition check:</w:t>
      </w:r>
    </w:p>
    <w:p w:rsidR="00774D10" w:rsidRPr="00022549" w:rsidRDefault="00774D10" w:rsidP="00774D1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2549">
        <w:rPr>
          <w:rFonts w:ascii="Times New Roman" w:eastAsia="Times New Roman" w:hAnsi="Times New Roman" w:cs="Times New Roman"/>
          <w:i/>
          <w:iCs/>
          <w:sz w:val="24"/>
          <w:szCs w:val="24"/>
        </w:rPr>
        <w:t>Revenue</w:t>
      </w:r>
      <w:r w:rsidRPr="00022549">
        <w:rPr>
          <w:rFonts w:ascii="Times New Roman" w:eastAsia="Times New Roman" w:hAnsi="Times New Roman" w:cs="Times New Roman"/>
          <w:sz w:val="24"/>
          <w:szCs w:val="24"/>
        </w:rPr>
        <w:t xml:space="preserve"> = total money the business received from customers for services</w:t>
      </w:r>
    </w:p>
    <w:p w:rsidR="00774D10" w:rsidRPr="00022549" w:rsidRDefault="00774D10" w:rsidP="00774D1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2549">
        <w:rPr>
          <w:rFonts w:ascii="Times New Roman" w:eastAsia="Times New Roman" w:hAnsi="Times New Roman" w:cs="Times New Roman"/>
          <w:i/>
          <w:iCs/>
          <w:sz w:val="24"/>
          <w:szCs w:val="24"/>
        </w:rPr>
        <w:t>Operating Profit</w:t>
      </w:r>
      <w:r w:rsidRPr="00022549">
        <w:rPr>
          <w:rFonts w:ascii="Times New Roman" w:eastAsia="Times New Roman" w:hAnsi="Times New Roman" w:cs="Times New Roman"/>
          <w:sz w:val="24"/>
          <w:szCs w:val="24"/>
        </w:rPr>
        <w:t xml:space="preserve"> = what's left after paying the costs of running the business (before tax and interest)</w:t>
      </w:r>
    </w:p>
    <w:p w:rsidR="00774D10" w:rsidRPr="00022549" w:rsidRDefault="00774D10" w:rsidP="00774D1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2549">
        <w:rPr>
          <w:rFonts w:ascii="Times New Roman" w:eastAsia="Times New Roman" w:hAnsi="Times New Roman" w:cs="Times New Roman"/>
          <w:i/>
          <w:iCs/>
          <w:sz w:val="24"/>
          <w:szCs w:val="24"/>
        </w:rPr>
        <w:t>Free Cash Flow</w:t>
      </w:r>
      <w:r w:rsidRPr="00022549">
        <w:rPr>
          <w:rFonts w:ascii="Times New Roman" w:eastAsia="Times New Roman" w:hAnsi="Times New Roman" w:cs="Times New Roman"/>
          <w:sz w:val="24"/>
          <w:szCs w:val="24"/>
        </w:rPr>
        <w:t xml:space="preserve"> = the actual cash generated after all operating costs and capital investment - the closest thing to "real money in the bank"</w:t>
      </w:r>
    </w:p>
    <w:p w:rsidR="004A19BE" w:rsidRPr="00022549" w:rsidRDefault="004A19BE" w:rsidP="004A19BE">
      <w:pPr>
        <w:pBdr>
          <w:top w:val="single" w:sz="4"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rsidR="00774D10" w:rsidRPr="00022549" w:rsidRDefault="00774D10" w:rsidP="00774D10">
      <w:pPr>
        <w:pStyle w:val="Heading3"/>
        <w:rPr>
          <w:rFonts w:ascii="Times New Roman" w:hAnsi="Times New Roman" w:cs="Times New Roman"/>
        </w:rPr>
      </w:pPr>
      <w:r w:rsidRPr="00022549">
        <w:rPr>
          <w:rFonts w:ascii="Times New Roman" w:hAnsi="Times New Roman" w:cs="Times New Roman"/>
        </w:rPr>
        <w:t>The Operating Profit Margin</w:t>
      </w:r>
    </w:p>
    <w:p w:rsidR="00774D10" w:rsidRPr="00022549" w:rsidRDefault="00774D10" w:rsidP="00774D10">
      <w:pPr>
        <w:pStyle w:val="font-claude-response-body"/>
      </w:pPr>
      <w:r w:rsidRPr="00022549">
        <w:rPr>
          <w:rStyle w:val="Strong"/>
        </w:rPr>
        <w:t>Formula:</w:t>
      </w:r>
      <w:r w:rsidRPr="00022549">
        <w:t xml:space="preserve"> Operating Profit ÷ Revenue × 100</w:t>
      </w:r>
    </w:p>
    <w:p w:rsidR="00774D10" w:rsidRPr="00022549" w:rsidRDefault="00774D10" w:rsidP="00774D10">
      <w:pPr>
        <w:pStyle w:val="HTMLPreformatted"/>
        <w:rPr>
          <w:rFonts w:ascii="Times New Roman" w:hAnsi="Times New Roman" w:cs="Times New Roman"/>
          <w:color w:val="2E74B5" w:themeColor="accent1" w:themeShade="BF"/>
        </w:rPr>
      </w:pPr>
      <w:r w:rsidRPr="00022549">
        <w:rPr>
          <w:rStyle w:val="HTMLCode"/>
          <w:rFonts w:ascii="Times New Roman" w:hAnsi="Times New Roman" w:cs="Times New Roman"/>
          <w:color w:val="2E74B5" w:themeColor="accent1" w:themeShade="BF"/>
        </w:rPr>
        <w:t>$1,070m ÷ $6,908m × 100 = 15.5%</w:t>
      </w:r>
    </w:p>
    <w:p w:rsidR="00774D10" w:rsidRPr="00022549" w:rsidRDefault="00774D10" w:rsidP="00774D10">
      <w:pPr>
        <w:pStyle w:val="font-claude-response-body"/>
      </w:pPr>
      <w:r w:rsidRPr="00022549">
        <w:rPr>
          <w:rStyle w:val="Strong"/>
        </w:rPr>
        <w:t>What this means:</w:t>
      </w:r>
      <w:r w:rsidRPr="00022549">
        <w:t xml:space="preserve"> For every $1 of revenue Rentokil earns, 15.5 cents becomes operating profit. </w:t>
      </w:r>
      <w:r w:rsidR="00300F79" w:rsidRPr="00022549">
        <w:t>That is</w:t>
      </w:r>
      <w:r w:rsidRPr="00022549">
        <w:t xml:space="preserve"> a solid margin for a services business - and importantly, it </w:t>
      </w:r>
      <w:r w:rsidRPr="00022549">
        <w:rPr>
          <w:rStyle w:val="Emphasis"/>
        </w:rPr>
        <w:t>improved</w:t>
      </w:r>
      <w:r w:rsidRPr="00022549">
        <w:t xml:space="preserve"> by </w:t>
      </w:r>
      <w:r w:rsidR="00300F79" w:rsidRPr="00022549">
        <w:t>0.3-percentage</w:t>
      </w:r>
      <w:r w:rsidRPr="00022549">
        <w:t xml:space="preserve"> points year-on-year, which tells you the business is getting more efficient, not less.</w:t>
      </w:r>
    </w:p>
    <w:p w:rsidR="00774D10" w:rsidRPr="00022549" w:rsidRDefault="00774D10" w:rsidP="00774D10">
      <w:pPr>
        <w:pStyle w:val="font-claude-response-body"/>
      </w:pPr>
      <w:r w:rsidRPr="00022549">
        <w:t xml:space="preserve">For context: Rollins (their closest listed competitor) operates at roughly 19-20% margins - which suggest Rentokil still has room to improve, and this's actually a </w:t>
      </w:r>
      <w:r w:rsidRPr="00022549">
        <w:rPr>
          <w:rStyle w:val="Emphasis"/>
        </w:rPr>
        <w:t>good</w:t>
      </w:r>
      <w:r w:rsidRPr="00022549">
        <w:t xml:space="preserve"> thing from an investment perspective (more on this below).</w:t>
      </w:r>
    </w:p>
    <w:p w:rsidR="00774D10" w:rsidRPr="00022549" w:rsidRDefault="00774D10" w:rsidP="004A19BE">
      <w:pPr>
        <w:pBdr>
          <w:top w:val="single" w:sz="4"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rsidR="00774D10" w:rsidRPr="00022549" w:rsidRDefault="00774D10" w:rsidP="00774D10">
      <w:pPr>
        <w:pStyle w:val="Heading3"/>
        <w:rPr>
          <w:rFonts w:ascii="Times New Roman" w:hAnsi="Times New Roman" w:cs="Times New Roman"/>
        </w:rPr>
      </w:pPr>
      <w:r w:rsidRPr="00022549">
        <w:rPr>
          <w:rFonts w:ascii="Times New Roman" w:hAnsi="Times New Roman" w:cs="Times New Roman"/>
        </w:rPr>
        <w:t>The Three Biggest Revenue Drivers</w:t>
      </w:r>
    </w:p>
    <w:p w:rsidR="00774D10" w:rsidRPr="00022549" w:rsidRDefault="00774D10" w:rsidP="00774D10">
      <w:pPr>
        <w:pStyle w:val="font-claude-response-body"/>
      </w:pPr>
      <w:r w:rsidRPr="00022549">
        <w:rPr>
          <w:rStyle w:val="Strong"/>
        </w:rPr>
        <w:t>Driver 1 - North America Pest Control: The Engine Room ($4,148m, 60% of revenue)</w:t>
      </w:r>
    </w:p>
    <w:p w:rsidR="00774D10" w:rsidRPr="00022549" w:rsidRDefault="00774D10" w:rsidP="00774D10">
      <w:pPr>
        <w:pStyle w:val="font-claude-response-body"/>
      </w:pPr>
      <w:r w:rsidRPr="00022549">
        <w:t xml:space="preserve">Pest control in North America is by far the largest revenue line. This business - built partly around the </w:t>
      </w:r>
      <w:r w:rsidRPr="00022549">
        <w:rPr>
          <w:rStyle w:val="Strong"/>
        </w:rPr>
        <w:t>Terminix</w:t>
      </w:r>
      <w:r w:rsidRPr="00022549">
        <w:t xml:space="preserve"> brand acquired in 2022 - serves residential homes, commercial buildings, restaurants, hospitals and industrial facilities across the US. Revenue here grew 3.1% in 2025, with organic growth accelerating from near-zero (0.1%) in the first half to 2.6% in Q4. The key driver is </w:t>
      </w:r>
      <w:r w:rsidRPr="00022549">
        <w:rPr>
          <w:rStyle w:val="Strong"/>
        </w:rPr>
        <w:t>pricing power</w:t>
      </w:r>
      <w:r w:rsidRPr="00022549">
        <w:t xml:space="preserve">: customers on annual contracts can be charged more each year and in pest control, most customers </w:t>
      </w:r>
      <w:r w:rsidR="00300F79" w:rsidRPr="00022549">
        <w:t>do not</w:t>
      </w:r>
      <w:r w:rsidRPr="00022549">
        <w:t xml:space="preserve"> cancel because the alternative (an infestation) is worse than the bill.</w:t>
      </w:r>
    </w:p>
    <w:p w:rsidR="00774D10" w:rsidRPr="00022549" w:rsidRDefault="00774D10" w:rsidP="00774D10">
      <w:pPr>
        <w:pStyle w:val="font-claude-response-body"/>
      </w:pPr>
      <w:r w:rsidRPr="00022549">
        <w:rPr>
          <w:rStyle w:val="Strong"/>
        </w:rPr>
        <w:t>Driver 2 - International Pest Control: The Growth Engine ($1,555m)</w:t>
      </w:r>
    </w:p>
    <w:p w:rsidR="00774D10" w:rsidRPr="00022549" w:rsidRDefault="00774D10" w:rsidP="00774D10">
      <w:pPr>
        <w:pStyle w:val="font-claude-response-body"/>
      </w:pPr>
      <w:r w:rsidRPr="00022549">
        <w:t xml:space="preserve">Rentokil operates pest control in 90 countries. The international division grew 5.4% in 2025, with particularly strong momentum in the UK, Southern Europe, India and Indonesia. This matters because these are </w:t>
      </w:r>
      <w:r w:rsidRPr="00022549">
        <w:rPr>
          <w:rStyle w:val="Strong"/>
        </w:rPr>
        <w:t>faster-growing economies</w:t>
      </w:r>
      <w:r w:rsidRPr="00022549">
        <w:t xml:space="preserve"> where pest control adoption is still rising - more </w:t>
      </w:r>
      <w:r w:rsidR="00300F79" w:rsidRPr="00022549">
        <w:t>urbanization</w:t>
      </w:r>
      <w:r w:rsidRPr="00022549">
        <w:t xml:space="preserve">, more food regulations, </w:t>
      </w:r>
      <w:r w:rsidR="00300F79" w:rsidRPr="00022549">
        <w:t>and more</w:t>
      </w:r>
      <w:r w:rsidRPr="00022549">
        <w:t xml:space="preserve"> awareness of hygiene risks. This is where the long-term volume growth comes from.</w:t>
      </w:r>
    </w:p>
    <w:p w:rsidR="00774D10" w:rsidRPr="00022549" w:rsidRDefault="00774D10" w:rsidP="00774D10">
      <w:pPr>
        <w:pStyle w:val="font-claude-response-body"/>
      </w:pPr>
      <w:r w:rsidRPr="00022549">
        <w:rPr>
          <w:rStyle w:val="Strong"/>
        </w:rPr>
        <w:t>Driver 3 - Hygiene &amp; Wellbeing: The Recurring Services Division ($1,205m)</w:t>
      </w:r>
    </w:p>
    <w:p w:rsidR="00774D10" w:rsidRPr="00022549" w:rsidRDefault="00774D10" w:rsidP="00774D10">
      <w:pPr>
        <w:pStyle w:val="font-claude-response-body"/>
      </w:pPr>
      <w:r w:rsidRPr="00022549">
        <w:t xml:space="preserve">This business provides washroom services, air hygiene systems and wellbeing products - think soap dispensers, hand dryers and feminine hygiene units - typically under </w:t>
      </w:r>
      <w:r w:rsidRPr="00022549">
        <w:rPr>
          <w:rStyle w:val="Strong"/>
        </w:rPr>
        <w:t>multi-year service contracts</w:t>
      </w:r>
      <w:r w:rsidRPr="00022549">
        <w:t xml:space="preserve">. It grew 4.3% in 2025. </w:t>
      </w:r>
      <w:r w:rsidR="00300F79" w:rsidRPr="00022549">
        <w:t>It is</w:t>
      </w:r>
      <w:r w:rsidRPr="00022549">
        <w:t xml:space="preserve"> smaller than pest control but has very similar economics: high recurring revenue</w:t>
      </w:r>
      <w:r w:rsidR="00D06781" w:rsidRPr="00022549">
        <w:t>, low churn</w:t>
      </w:r>
      <w:r w:rsidRPr="00022549">
        <w:t xml:space="preserve"> and customers who rarely switch once installed. It also adds geographical diversification since </w:t>
      </w:r>
      <w:r w:rsidR="00300F79" w:rsidRPr="00022549">
        <w:t>it is</w:t>
      </w:r>
      <w:r w:rsidRPr="00022549">
        <w:t xml:space="preserve"> primarily international.</w:t>
      </w:r>
    </w:p>
    <w:p w:rsidR="00774D10" w:rsidRPr="00022549" w:rsidRDefault="00774D10" w:rsidP="004A19BE">
      <w:pPr>
        <w:pBdr>
          <w:top w:val="single" w:sz="4"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rsidR="00D06781" w:rsidRPr="00022549" w:rsidRDefault="00D06781" w:rsidP="00D06781">
      <w:pPr>
        <w:pStyle w:val="Heading3"/>
        <w:rPr>
          <w:rFonts w:ascii="Times New Roman" w:hAnsi="Times New Roman" w:cs="Times New Roman"/>
        </w:rPr>
      </w:pPr>
      <w:r w:rsidRPr="00022549">
        <w:rPr>
          <w:rFonts w:ascii="Times New Roman" w:hAnsi="Times New Roman" w:cs="Times New Roman"/>
        </w:rPr>
        <w:t>The Three Biggest Risks</w:t>
      </w:r>
    </w:p>
    <w:p w:rsidR="00D06781" w:rsidRPr="00022549" w:rsidRDefault="00D06781" w:rsidP="00D06781">
      <w:pPr>
        <w:pStyle w:val="font-claude-response-body"/>
      </w:pPr>
      <w:r w:rsidRPr="00022549">
        <w:rPr>
          <w:rStyle w:val="Strong"/>
        </w:rPr>
        <w:t>Risk 1 - North America Integration &amp; Operational Underperformance (Rated: HIGH)</w:t>
      </w:r>
    </w:p>
    <w:p w:rsidR="00D06781" w:rsidRPr="00022549" w:rsidRDefault="00D06781" w:rsidP="00D06781">
      <w:pPr>
        <w:pStyle w:val="font-claude-response-body"/>
      </w:pPr>
      <w:r w:rsidRPr="00022549">
        <w:t xml:space="preserve">Rentokil acquired Terminix in 2022 for £3.5 billion - the largest deal in its history. Integrating two huge businesses across thousands of US locations is genuinely hard. The report flags this as a </w:t>
      </w:r>
      <w:r w:rsidRPr="00022549">
        <w:rPr>
          <w:rStyle w:val="Emphasis"/>
        </w:rPr>
        <w:t>high-rated</w:t>
      </w:r>
      <w:r w:rsidRPr="00022549">
        <w:t xml:space="preserve"> principal risk and the numbers reflect it: North America organic growth was only 0.1% in H1 2025 before recovering. The company has set a target of $100m in cost savings by 2027 and a 20%+ North America operating margin - but these targets are not yet delivered. If the integration stumbles, the investment case weakens significantly.</w:t>
      </w:r>
    </w:p>
    <w:p w:rsidR="00D06781" w:rsidRPr="00022549" w:rsidRDefault="00D06781" w:rsidP="00D06781">
      <w:pPr>
        <w:pStyle w:val="font-claude-response-body"/>
      </w:pPr>
      <w:r w:rsidRPr="00022549">
        <w:rPr>
          <w:rStyle w:val="Strong"/>
        </w:rPr>
        <w:t>Risk 2 - Macroeconomic Environment &amp; Interest Rates (Rated: HIGH)</w:t>
      </w:r>
    </w:p>
    <w:p w:rsidR="00D06781" w:rsidRPr="00022549" w:rsidRDefault="00D06781" w:rsidP="00D06781">
      <w:pPr>
        <w:pStyle w:val="font-claude-response-body"/>
      </w:pPr>
      <w:r w:rsidRPr="00022549">
        <w:lastRenderedPageBreak/>
        <w:t xml:space="preserve">Rentokil carried net debt of approximately 2.6x EBITDA at year-end 2025 - meaning it owes roughly 2.6 times its annual operating profit in debt. This is manageable, but it means </w:t>
      </w:r>
      <w:r w:rsidRPr="00022549">
        <w:rPr>
          <w:rStyle w:val="Strong"/>
        </w:rPr>
        <w:t>rising interest rates hurt</w:t>
      </w:r>
      <w:r w:rsidRPr="00022549">
        <w:t>. The report notes interest costs rose $29m year-on-year in 2025. The company also has significant bond maturities coming up (€500m in May 2026, already redeemed; €850m in June 2027; €600m in October 2028). If credit markets tighten, refinancing becomes more expensive.</w:t>
      </w:r>
    </w:p>
    <w:p w:rsidR="00D06781" w:rsidRPr="00022549" w:rsidRDefault="006D1D35" w:rsidP="00D06781">
      <w:pPr>
        <w:pStyle w:val="font-claude-response-body"/>
      </w:pPr>
      <w:r w:rsidRPr="00022549">
        <w:rPr>
          <w:rStyle w:val="Strong"/>
        </w:rPr>
        <w:t>Risk 3 -</w:t>
      </w:r>
      <w:r w:rsidR="00D06781" w:rsidRPr="00022549">
        <w:rPr>
          <w:rStyle w:val="Strong"/>
        </w:rPr>
        <w:t xml:space="preserve"> Business Continuity / Cyber Attack (Rated: HIGH, Trend: Increasing)</w:t>
      </w:r>
    </w:p>
    <w:p w:rsidR="00D06781" w:rsidRPr="00022549" w:rsidRDefault="00D06781" w:rsidP="00D06781">
      <w:pPr>
        <w:pStyle w:val="font-claude-response-body"/>
      </w:pPr>
      <w:r w:rsidRPr="00022549">
        <w:t>Rentokil explicitly flags cyber threats as an increasing risk. For a business that operates connected devices (PestConnect cameras, digital monitoring systems) across 90 countries and holds data on millions of customers, a major cyber incident could be operationally and reputationally devastating. The report notes "increasingly sophisticated p</w:t>
      </w:r>
      <w:r w:rsidR="006D1D35" w:rsidRPr="00022549">
        <w:t>hishing and spoofing attempts" -</w:t>
      </w:r>
      <w:r w:rsidRPr="00022549">
        <w:t xml:space="preserve"> this is a genuine and growing threat that the business is actively investing to address.</w:t>
      </w:r>
    </w:p>
    <w:p w:rsidR="00D06781" w:rsidRPr="00022549" w:rsidRDefault="006D1D35" w:rsidP="00D06781">
      <w:pPr>
        <w:pStyle w:val="font-claude-response-body"/>
      </w:pPr>
      <w:r w:rsidRPr="00022549">
        <w:rPr>
          <w:rStyle w:val="Emphasis"/>
        </w:rPr>
        <w:t>Honourable mention -</w:t>
      </w:r>
      <w:r w:rsidR="00D06781" w:rsidRPr="00022549">
        <w:rPr>
          <w:rStyle w:val="Emphasis"/>
        </w:rPr>
        <w:t xml:space="preserve"> Termite Claims Provision:</w:t>
      </w:r>
      <w:r w:rsidR="00D06781" w:rsidRPr="00022549">
        <w:t xml:space="preserve"> The report discloses an increased provision for termite-related legal claims (a legacy issue from the Terminix acquisition), which contributed $287m in one-off costs and dragged statutory profit before tax down to $390m from the adjusted $876m. </w:t>
      </w:r>
      <w:r w:rsidR="00300F79" w:rsidRPr="00022549">
        <w:t>A buyer would scrutinize this real litigation tail</w:t>
      </w:r>
      <w:r w:rsidR="00D06781" w:rsidRPr="00022549">
        <w:t xml:space="preserve"> carefully.</w:t>
      </w:r>
    </w:p>
    <w:p w:rsidR="00D06781" w:rsidRPr="00022549" w:rsidRDefault="00D06781" w:rsidP="004A19BE">
      <w:pPr>
        <w:pBdr>
          <w:top w:val="single" w:sz="4"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rsidR="006D1D35" w:rsidRPr="00022549" w:rsidRDefault="00300F79" w:rsidP="006D1D35">
      <w:pPr>
        <w:pStyle w:val="Heading3"/>
        <w:rPr>
          <w:rFonts w:ascii="Times New Roman" w:hAnsi="Times New Roman" w:cs="Times New Roman"/>
        </w:rPr>
      </w:pPr>
      <w:r>
        <w:rPr>
          <w:rFonts w:ascii="Times New Roman" w:hAnsi="Times New Roman" w:cs="Times New Roman"/>
        </w:rPr>
        <w:t>Peer Comparison -</w:t>
      </w:r>
      <w:bookmarkStart w:id="0" w:name="_GoBack"/>
      <w:bookmarkEnd w:id="0"/>
      <w:r w:rsidR="006D1D35" w:rsidRPr="00022549">
        <w:rPr>
          <w:rFonts w:ascii="Times New Roman" w:hAnsi="Times New Roman" w:cs="Times New Roman"/>
        </w:rPr>
        <w:t xml:space="preserve"> Three Competitors</w:t>
      </w:r>
    </w:p>
    <w:p w:rsidR="006D1D35" w:rsidRPr="00022549" w:rsidRDefault="006D1D35" w:rsidP="006D1D35">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1690"/>
        <w:gridCol w:w="1488"/>
        <w:gridCol w:w="1544"/>
        <w:gridCol w:w="3320"/>
      </w:tblGrid>
      <w:tr w:rsidR="006D1D35" w:rsidRPr="00022549" w:rsidTr="006D1D35">
        <w:trPr>
          <w:tblHeader/>
          <w:tblCellSpacing w:w="15" w:type="dxa"/>
        </w:trPr>
        <w:tc>
          <w:tcPr>
            <w:tcW w:w="0" w:type="auto"/>
            <w:vAlign w:val="center"/>
            <w:hideMark/>
          </w:tcPr>
          <w:p w:rsidR="006D1D35" w:rsidRPr="00022549" w:rsidRDefault="006D1D35">
            <w:pPr>
              <w:jc w:val="center"/>
              <w:rPr>
                <w:rFonts w:ascii="Times New Roman" w:hAnsi="Times New Roman" w:cs="Times New Roman"/>
                <w:b/>
                <w:bCs/>
              </w:rPr>
            </w:pPr>
            <w:r w:rsidRPr="00022549">
              <w:rPr>
                <w:rFonts w:ascii="Times New Roman" w:hAnsi="Times New Roman" w:cs="Times New Roman"/>
                <w:b/>
                <w:bCs/>
              </w:rPr>
              <w:t>Company</w:t>
            </w:r>
          </w:p>
        </w:tc>
        <w:tc>
          <w:tcPr>
            <w:tcW w:w="0" w:type="auto"/>
            <w:vAlign w:val="center"/>
            <w:hideMark/>
          </w:tcPr>
          <w:p w:rsidR="006D1D35" w:rsidRPr="00022549" w:rsidRDefault="006D1D35">
            <w:pPr>
              <w:jc w:val="center"/>
              <w:rPr>
                <w:rFonts w:ascii="Times New Roman" w:hAnsi="Times New Roman" w:cs="Times New Roman"/>
                <w:b/>
                <w:bCs/>
              </w:rPr>
            </w:pPr>
            <w:r w:rsidRPr="00022549">
              <w:rPr>
                <w:rFonts w:ascii="Times New Roman" w:hAnsi="Times New Roman" w:cs="Times New Roman"/>
                <w:b/>
                <w:bCs/>
              </w:rPr>
              <w:t>Headquartered</w:t>
            </w:r>
          </w:p>
        </w:tc>
        <w:tc>
          <w:tcPr>
            <w:tcW w:w="0" w:type="auto"/>
            <w:vAlign w:val="center"/>
            <w:hideMark/>
          </w:tcPr>
          <w:p w:rsidR="006D1D35" w:rsidRPr="00022549" w:rsidRDefault="006D1D35">
            <w:pPr>
              <w:jc w:val="center"/>
              <w:rPr>
                <w:rFonts w:ascii="Times New Roman" w:hAnsi="Times New Roman" w:cs="Times New Roman"/>
                <w:b/>
                <w:bCs/>
              </w:rPr>
            </w:pPr>
            <w:r w:rsidRPr="00022549">
              <w:rPr>
                <w:rFonts w:ascii="Times New Roman" w:hAnsi="Times New Roman" w:cs="Times New Roman"/>
                <w:b/>
                <w:bCs/>
              </w:rPr>
              <w:t>Revenue (approx.)</w:t>
            </w:r>
          </w:p>
        </w:tc>
        <w:tc>
          <w:tcPr>
            <w:tcW w:w="0" w:type="auto"/>
            <w:vAlign w:val="center"/>
            <w:hideMark/>
          </w:tcPr>
          <w:p w:rsidR="006D1D35" w:rsidRPr="00022549" w:rsidRDefault="006D1D35">
            <w:pPr>
              <w:jc w:val="center"/>
              <w:rPr>
                <w:rFonts w:ascii="Times New Roman" w:hAnsi="Times New Roman" w:cs="Times New Roman"/>
                <w:b/>
                <w:bCs/>
              </w:rPr>
            </w:pPr>
            <w:r w:rsidRPr="00022549">
              <w:rPr>
                <w:rFonts w:ascii="Times New Roman" w:hAnsi="Times New Roman" w:cs="Times New Roman"/>
                <w:b/>
                <w:bCs/>
              </w:rPr>
              <w:t>Listed?</w:t>
            </w:r>
          </w:p>
        </w:tc>
        <w:tc>
          <w:tcPr>
            <w:tcW w:w="0" w:type="auto"/>
            <w:vAlign w:val="center"/>
            <w:hideMark/>
          </w:tcPr>
          <w:p w:rsidR="006D1D35" w:rsidRPr="00022549" w:rsidRDefault="006D1D35">
            <w:pPr>
              <w:jc w:val="center"/>
              <w:rPr>
                <w:rFonts w:ascii="Times New Roman" w:hAnsi="Times New Roman" w:cs="Times New Roman"/>
                <w:b/>
                <w:bCs/>
              </w:rPr>
            </w:pPr>
            <w:r w:rsidRPr="00022549">
              <w:rPr>
                <w:rFonts w:ascii="Times New Roman" w:hAnsi="Times New Roman" w:cs="Times New Roman"/>
                <w:b/>
                <w:bCs/>
              </w:rPr>
              <w:t>Key Difference vs. Rentokil</w:t>
            </w:r>
          </w:p>
        </w:tc>
      </w:tr>
      <w:tr w:rsidR="006D1D35" w:rsidRPr="00022549" w:rsidTr="006D1D35">
        <w:trPr>
          <w:tblCellSpacing w:w="15" w:type="dxa"/>
        </w:trPr>
        <w:tc>
          <w:tcPr>
            <w:tcW w:w="0" w:type="auto"/>
            <w:vAlign w:val="center"/>
            <w:hideMark/>
          </w:tcPr>
          <w:p w:rsidR="006D1D35" w:rsidRPr="00022549" w:rsidRDefault="006D1D35">
            <w:pPr>
              <w:rPr>
                <w:rFonts w:ascii="Times New Roman" w:hAnsi="Times New Roman" w:cs="Times New Roman"/>
              </w:rPr>
            </w:pPr>
            <w:r w:rsidRPr="00022549">
              <w:rPr>
                <w:rStyle w:val="Strong"/>
                <w:rFonts w:ascii="Times New Roman" w:hAnsi="Times New Roman" w:cs="Times New Roman"/>
              </w:rPr>
              <w:t>Rollins (Orkin)</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Atlanta, USA</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~$3.4bn</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Yes (NYSE: ROL)</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Pure-play pest control, higher margins (~20%), US-focused</w:t>
            </w:r>
          </w:p>
        </w:tc>
      </w:tr>
      <w:tr w:rsidR="006D1D35" w:rsidRPr="00022549" w:rsidTr="006D1D35">
        <w:trPr>
          <w:tblCellSpacing w:w="15" w:type="dxa"/>
        </w:trPr>
        <w:tc>
          <w:tcPr>
            <w:tcW w:w="0" w:type="auto"/>
            <w:vAlign w:val="center"/>
            <w:hideMark/>
          </w:tcPr>
          <w:p w:rsidR="006D1D35" w:rsidRPr="00022549" w:rsidRDefault="006D1D35">
            <w:pPr>
              <w:rPr>
                <w:rFonts w:ascii="Times New Roman" w:hAnsi="Times New Roman" w:cs="Times New Roman"/>
              </w:rPr>
            </w:pPr>
            <w:r w:rsidRPr="00022549">
              <w:rPr>
                <w:rStyle w:val="Strong"/>
                <w:rFonts w:ascii="Times New Roman" w:hAnsi="Times New Roman" w:cs="Times New Roman"/>
              </w:rPr>
              <w:t>Ecolab Pest</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Minnesota, USA</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Part of $15bn+ group</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Yes (NYSE: ECL)</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Pest is bundled with broader hygiene &amp; chemistry services</w:t>
            </w:r>
          </w:p>
        </w:tc>
      </w:tr>
      <w:tr w:rsidR="006D1D35" w:rsidRPr="00022549" w:rsidTr="006D1D35">
        <w:trPr>
          <w:tblCellSpacing w:w="15" w:type="dxa"/>
        </w:trPr>
        <w:tc>
          <w:tcPr>
            <w:tcW w:w="0" w:type="auto"/>
            <w:vAlign w:val="center"/>
            <w:hideMark/>
          </w:tcPr>
          <w:p w:rsidR="006D1D35" w:rsidRPr="00022549" w:rsidRDefault="006D1D35">
            <w:pPr>
              <w:rPr>
                <w:rFonts w:ascii="Times New Roman" w:hAnsi="Times New Roman" w:cs="Times New Roman"/>
              </w:rPr>
            </w:pPr>
            <w:r w:rsidRPr="00022549">
              <w:rPr>
                <w:rStyle w:val="Strong"/>
                <w:rFonts w:ascii="Times New Roman" w:hAnsi="Times New Roman" w:cs="Times New Roman"/>
              </w:rPr>
              <w:t>Anticimex</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Stockholm, Sweden</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~€1bn</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No (PE-owned by EQT)</w:t>
            </w:r>
          </w:p>
        </w:tc>
        <w:tc>
          <w:tcPr>
            <w:tcW w:w="0" w:type="auto"/>
            <w:vAlign w:val="center"/>
            <w:hideMark/>
          </w:tcPr>
          <w:p w:rsidR="006D1D35" w:rsidRPr="00022549" w:rsidRDefault="006D1D35">
            <w:pPr>
              <w:rPr>
                <w:rFonts w:ascii="Times New Roman" w:hAnsi="Times New Roman" w:cs="Times New Roman"/>
              </w:rPr>
            </w:pPr>
            <w:r w:rsidRPr="00022549">
              <w:rPr>
                <w:rFonts w:ascii="Times New Roman" w:hAnsi="Times New Roman" w:cs="Times New Roman"/>
              </w:rPr>
              <w:t>Tech-forward, smart traps, European focus, smaller scale</w:t>
            </w:r>
          </w:p>
        </w:tc>
      </w:tr>
    </w:tbl>
    <w:p w:rsidR="006D1D35" w:rsidRPr="00022549" w:rsidRDefault="006D1D35" w:rsidP="004A19BE">
      <w:pPr>
        <w:pBdr>
          <w:top w:val="single" w:sz="4" w:space="1" w:color="auto"/>
        </w:pBdr>
        <w:spacing w:before="100" w:beforeAutospacing="1" w:after="100" w:afterAutospacing="1" w:line="240" w:lineRule="auto"/>
        <w:outlineLvl w:val="3"/>
        <w:rPr>
          <w:rFonts w:ascii="Times New Roman" w:eastAsia="Times New Roman" w:hAnsi="Times New Roman" w:cs="Times New Roman"/>
          <w:b/>
          <w:bCs/>
          <w:sz w:val="24"/>
          <w:szCs w:val="24"/>
        </w:rPr>
      </w:pPr>
    </w:p>
    <w:p w:rsidR="006D1D35" w:rsidRPr="00022549" w:rsidRDefault="006D1D35" w:rsidP="004A19BE">
      <w:pPr>
        <w:pBdr>
          <w:top w:val="single" w:sz="4" w:space="1" w:color="auto"/>
        </w:pBdr>
        <w:spacing w:before="100" w:beforeAutospacing="1" w:after="100" w:afterAutospacing="1" w:line="240" w:lineRule="auto"/>
        <w:outlineLvl w:val="3"/>
        <w:rPr>
          <w:rFonts w:ascii="Times New Roman" w:hAnsi="Times New Roman" w:cs="Times New Roman"/>
        </w:rPr>
      </w:pPr>
      <w:r w:rsidRPr="00022549">
        <w:rPr>
          <w:rFonts w:ascii="Times New Roman" w:hAnsi="Times New Roman" w:cs="Times New Roman"/>
        </w:rPr>
        <w:t xml:space="preserve">The fact that </w:t>
      </w:r>
      <w:r w:rsidRPr="00022549">
        <w:rPr>
          <w:rStyle w:val="Strong"/>
          <w:rFonts w:ascii="Times New Roman" w:hAnsi="Times New Roman" w:cs="Times New Roman"/>
        </w:rPr>
        <w:t>Anticimex is PE-owned</w:t>
      </w:r>
      <w:r w:rsidRPr="00022549">
        <w:rPr>
          <w:rFonts w:ascii="Times New Roman" w:hAnsi="Times New Roman" w:cs="Times New Roman"/>
        </w:rPr>
        <w:t xml:space="preserve"> (by EQT, a major European PE firm) is itself instructive - it proves PE investors find this sector attractive.</w:t>
      </w:r>
    </w:p>
    <w:p w:rsidR="006D1D35" w:rsidRPr="00022549" w:rsidRDefault="006D1D35" w:rsidP="004A19BE">
      <w:pPr>
        <w:pBdr>
          <w:top w:val="single" w:sz="4" w:space="1" w:color="auto"/>
        </w:pBdr>
        <w:spacing w:before="100" w:beforeAutospacing="1" w:after="100" w:afterAutospacing="1" w:line="240" w:lineRule="auto"/>
        <w:outlineLvl w:val="3"/>
        <w:rPr>
          <w:rFonts w:ascii="Times New Roman" w:hAnsi="Times New Roman" w:cs="Times New Roman"/>
        </w:rPr>
      </w:pPr>
    </w:p>
    <w:p w:rsidR="006D1D35" w:rsidRPr="00022549" w:rsidRDefault="006D1D35" w:rsidP="006D1D35">
      <w:pPr>
        <w:pStyle w:val="Heading3"/>
        <w:rPr>
          <w:rFonts w:ascii="Times New Roman" w:hAnsi="Times New Roman" w:cs="Times New Roman"/>
        </w:rPr>
      </w:pPr>
      <w:r w:rsidRPr="00022549">
        <w:rPr>
          <w:rFonts w:ascii="Times New Roman" w:hAnsi="Times New Roman" w:cs="Times New Roman"/>
        </w:rPr>
        <w:lastRenderedPageBreak/>
        <w:t>Would a PE Firm Find Rentokil Attractive? And Why?</w:t>
      </w:r>
    </w:p>
    <w:p w:rsidR="006D1D35" w:rsidRPr="00022549" w:rsidRDefault="00022549" w:rsidP="006D1D35">
      <w:pPr>
        <w:pStyle w:val="font-claude-response-body"/>
        <w:rPr>
          <w:sz w:val="36"/>
          <w:szCs w:val="36"/>
        </w:rPr>
      </w:pPr>
      <w:r w:rsidRPr="00022549">
        <w:rPr>
          <w:sz w:val="36"/>
          <w:szCs w:val="36"/>
        </w:rPr>
        <w:t>A</w:t>
      </w:r>
      <w:r w:rsidR="006D1D35" w:rsidRPr="00022549">
        <w:rPr>
          <w:sz w:val="36"/>
          <w:szCs w:val="36"/>
        </w:rPr>
        <w:t>nalyst memo:</w:t>
      </w:r>
      <w:r w:rsidRPr="00022549">
        <w:rPr>
          <w:sz w:val="36"/>
          <w:szCs w:val="36"/>
        </w:rPr>
        <w:t xml:space="preserve"> 5-sentence investment paragraph</w:t>
      </w:r>
    </w:p>
    <w:p w:rsidR="00022549" w:rsidRPr="00022549" w:rsidRDefault="006D1D35" w:rsidP="006D1D35">
      <w:pPr>
        <w:pStyle w:val="font-claude-response-body"/>
      </w:pPr>
      <w:r w:rsidRPr="00022549">
        <w:t>Rentokil Initial is the world's largest pest control company, generating $6.9bn in revenue with a 15.5% operating marg</w:t>
      </w:r>
      <w:r w:rsidR="00022549" w:rsidRPr="00022549">
        <w:t>in and $615m of free cash flow -</w:t>
      </w:r>
      <w:r w:rsidRPr="00022549">
        <w:t xml:space="preserve"> a business that PE firms would typically describe as a </w:t>
      </w:r>
      <w:r w:rsidRPr="00022549">
        <w:rPr>
          <w:rStyle w:val="Strong"/>
        </w:rPr>
        <w:t>highly attractive, recurring-revenue, essential-services platform</w:t>
      </w:r>
      <w:r w:rsidRPr="00022549">
        <w:t xml:space="preserve">. The core business characteristics are compelling: roughly </w:t>
      </w:r>
      <w:r w:rsidRPr="00022549">
        <w:rPr>
          <w:rStyle w:val="Strong"/>
        </w:rPr>
        <w:t>70% of revenues are contracted and recurring</w:t>
      </w:r>
      <w:r w:rsidRPr="00022549">
        <w:t xml:space="preserve">, customers renew year after year because the switching cost is low but the consequence of switching (and getting it wrong) is high, and the global market is forecast to grow at 6.2% CAGR to 2035 driven by structural tailwinds including climate change, </w:t>
      </w:r>
      <w:r w:rsidR="00300F79" w:rsidRPr="00022549">
        <w:t>urbanization</w:t>
      </w:r>
      <w:r w:rsidRPr="00022549">
        <w:t xml:space="preserve">, and tightening food safety regulations. </w:t>
      </w:r>
    </w:p>
    <w:p w:rsidR="006D1D35" w:rsidRPr="00022549" w:rsidRDefault="006D1D35" w:rsidP="00022549">
      <w:pPr>
        <w:pStyle w:val="font-claude-response-body"/>
      </w:pPr>
      <w:r w:rsidRPr="00022549">
        <w:t xml:space="preserve">However, at a current market </w:t>
      </w:r>
      <w:r w:rsidR="00300F79" w:rsidRPr="00022549">
        <w:t>capitalization</w:t>
      </w:r>
      <w:r w:rsidR="00022549" w:rsidRPr="00022549">
        <w:t xml:space="preserve"> of approximately £7-</w:t>
      </w:r>
      <w:r w:rsidRPr="00022549">
        <w:t xml:space="preserve">8bn, </w:t>
      </w:r>
      <w:r w:rsidRPr="00022549">
        <w:rPr>
          <w:rStyle w:val="Strong"/>
        </w:rPr>
        <w:t>Rentokil is too large for a traditional PE buyout</w:t>
      </w:r>
      <w:r w:rsidR="00022549" w:rsidRPr="00022549">
        <w:t xml:space="preserve"> -</w:t>
      </w:r>
      <w:r w:rsidRPr="00022549">
        <w:t xml:space="preserve"> the equity cheque alone would exceed most single PE funds. Where PE thinking </w:t>
      </w:r>
      <w:r w:rsidRPr="00022549">
        <w:rPr>
          <w:rStyle w:val="Emphasis"/>
        </w:rPr>
        <w:t>is</w:t>
      </w:r>
      <w:r w:rsidRPr="00022549">
        <w:t xml:space="preserve"> directly applicable is in evaluating the </w:t>
      </w:r>
      <w:r w:rsidRPr="00022549">
        <w:rPr>
          <w:rStyle w:val="Strong"/>
        </w:rPr>
        <w:t>bolt-on acquisition strategy</w:t>
      </w:r>
      <w:r w:rsidRPr="00022549">
        <w:t>: Rentokil itself operates exactly like a PE roll-up, acquiring small regional pest control companies in fragmented markets, int</w:t>
      </w:r>
      <w:r w:rsidR="00022549" w:rsidRPr="00022549">
        <w:t>egrating them onto its platform</w:t>
      </w:r>
      <w:r w:rsidRPr="00022549">
        <w:t xml:space="preserve"> and driving margin improvement through route density and shared services. The key risk a PE analyst would immediately identify is</w:t>
      </w:r>
      <w:r w:rsidR="00022549" w:rsidRPr="00022549">
        <w:t xml:space="preserve"> the North America integration -</w:t>
      </w:r>
      <w:r w:rsidRPr="00022549">
        <w:t xml:space="preserve"> margins at ~17% today vs. a 20%+ target suggest there is </w:t>
      </w:r>
      <w:r w:rsidRPr="00022549">
        <w:rPr>
          <w:rStyle w:val="Strong"/>
        </w:rPr>
        <w:t>operational value to unlock</w:t>
      </w:r>
      <w:r w:rsidRPr="00022549">
        <w:t>, which is exactly the kind of thesis PE investors find attractive, but the Terminix debt load and termite litigation liability would require serious scrutiny before underwriting that upside.</w:t>
      </w:r>
    </w:p>
    <w:sectPr w:rsidR="006D1D35" w:rsidRPr="00022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B0DBF"/>
    <w:multiLevelType w:val="multilevel"/>
    <w:tmpl w:val="FE5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418C7"/>
    <w:multiLevelType w:val="hybridMultilevel"/>
    <w:tmpl w:val="61F4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4049D1"/>
    <w:multiLevelType w:val="multilevel"/>
    <w:tmpl w:val="298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414"/>
    <w:rsid w:val="00022549"/>
    <w:rsid w:val="00032BD3"/>
    <w:rsid w:val="00300F79"/>
    <w:rsid w:val="004A19BE"/>
    <w:rsid w:val="006D1D35"/>
    <w:rsid w:val="00774D10"/>
    <w:rsid w:val="007A7C53"/>
    <w:rsid w:val="00D06781"/>
    <w:rsid w:val="00DB0414"/>
    <w:rsid w:val="00F66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1A10"/>
  <w15:chartTrackingRefBased/>
  <w15:docId w15:val="{79BDF066-7285-43DA-9730-0C2AD5C9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19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A19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4A19B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19BE"/>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A19B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4A19BE"/>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ormal"/>
    <w:rsid w:val="004A19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19BE"/>
    <w:rPr>
      <w:b/>
      <w:bCs/>
    </w:rPr>
  </w:style>
  <w:style w:type="character" w:styleId="Emphasis">
    <w:name w:val="Emphasis"/>
    <w:basedOn w:val="DefaultParagraphFont"/>
    <w:uiPriority w:val="20"/>
    <w:qFormat/>
    <w:rsid w:val="00774D10"/>
    <w:rPr>
      <w:i/>
      <w:iCs/>
    </w:rPr>
  </w:style>
  <w:style w:type="paragraph" w:styleId="ListParagraph">
    <w:name w:val="List Paragraph"/>
    <w:basedOn w:val="Normal"/>
    <w:uiPriority w:val="34"/>
    <w:qFormat/>
    <w:rsid w:val="00774D10"/>
    <w:pPr>
      <w:ind w:left="720"/>
      <w:contextualSpacing/>
    </w:pPr>
  </w:style>
  <w:style w:type="paragraph" w:styleId="HTMLPreformatted">
    <w:name w:val="HTML Preformatted"/>
    <w:basedOn w:val="Normal"/>
    <w:link w:val="HTMLPreformattedChar"/>
    <w:uiPriority w:val="99"/>
    <w:semiHidden/>
    <w:unhideWhenUsed/>
    <w:rsid w:val="00774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4D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4D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30073">
      <w:bodyDiv w:val="1"/>
      <w:marLeft w:val="0"/>
      <w:marRight w:val="0"/>
      <w:marTop w:val="0"/>
      <w:marBottom w:val="0"/>
      <w:divBdr>
        <w:top w:val="none" w:sz="0" w:space="0" w:color="auto"/>
        <w:left w:val="none" w:sz="0" w:space="0" w:color="auto"/>
        <w:bottom w:val="none" w:sz="0" w:space="0" w:color="auto"/>
        <w:right w:val="none" w:sz="0" w:space="0" w:color="auto"/>
      </w:divBdr>
    </w:div>
    <w:div w:id="182867977">
      <w:bodyDiv w:val="1"/>
      <w:marLeft w:val="0"/>
      <w:marRight w:val="0"/>
      <w:marTop w:val="0"/>
      <w:marBottom w:val="0"/>
      <w:divBdr>
        <w:top w:val="none" w:sz="0" w:space="0" w:color="auto"/>
        <w:left w:val="none" w:sz="0" w:space="0" w:color="auto"/>
        <w:bottom w:val="none" w:sz="0" w:space="0" w:color="auto"/>
        <w:right w:val="none" w:sz="0" w:space="0" w:color="auto"/>
      </w:divBdr>
    </w:div>
    <w:div w:id="673729077">
      <w:bodyDiv w:val="1"/>
      <w:marLeft w:val="0"/>
      <w:marRight w:val="0"/>
      <w:marTop w:val="0"/>
      <w:marBottom w:val="0"/>
      <w:divBdr>
        <w:top w:val="none" w:sz="0" w:space="0" w:color="auto"/>
        <w:left w:val="none" w:sz="0" w:space="0" w:color="auto"/>
        <w:bottom w:val="none" w:sz="0" w:space="0" w:color="auto"/>
        <w:right w:val="none" w:sz="0" w:space="0" w:color="auto"/>
      </w:divBdr>
    </w:div>
    <w:div w:id="876703462">
      <w:bodyDiv w:val="1"/>
      <w:marLeft w:val="0"/>
      <w:marRight w:val="0"/>
      <w:marTop w:val="0"/>
      <w:marBottom w:val="0"/>
      <w:divBdr>
        <w:top w:val="none" w:sz="0" w:space="0" w:color="auto"/>
        <w:left w:val="none" w:sz="0" w:space="0" w:color="auto"/>
        <w:bottom w:val="none" w:sz="0" w:space="0" w:color="auto"/>
        <w:right w:val="none" w:sz="0" w:space="0" w:color="auto"/>
      </w:divBdr>
      <w:divsChild>
        <w:div w:id="930432233">
          <w:marLeft w:val="0"/>
          <w:marRight w:val="0"/>
          <w:marTop w:val="0"/>
          <w:marBottom w:val="0"/>
          <w:divBdr>
            <w:top w:val="none" w:sz="0" w:space="0" w:color="auto"/>
            <w:left w:val="none" w:sz="0" w:space="0" w:color="auto"/>
            <w:bottom w:val="none" w:sz="0" w:space="0" w:color="auto"/>
            <w:right w:val="none" w:sz="0" w:space="0" w:color="auto"/>
          </w:divBdr>
        </w:div>
      </w:divsChild>
    </w:div>
    <w:div w:id="1046758695">
      <w:bodyDiv w:val="1"/>
      <w:marLeft w:val="0"/>
      <w:marRight w:val="0"/>
      <w:marTop w:val="0"/>
      <w:marBottom w:val="0"/>
      <w:divBdr>
        <w:top w:val="none" w:sz="0" w:space="0" w:color="auto"/>
        <w:left w:val="none" w:sz="0" w:space="0" w:color="auto"/>
        <w:bottom w:val="none" w:sz="0" w:space="0" w:color="auto"/>
        <w:right w:val="none" w:sz="0" w:space="0" w:color="auto"/>
      </w:divBdr>
      <w:divsChild>
        <w:div w:id="2078285617">
          <w:marLeft w:val="0"/>
          <w:marRight w:val="0"/>
          <w:marTop w:val="0"/>
          <w:marBottom w:val="0"/>
          <w:divBdr>
            <w:top w:val="none" w:sz="0" w:space="0" w:color="auto"/>
            <w:left w:val="none" w:sz="0" w:space="0" w:color="auto"/>
            <w:bottom w:val="none" w:sz="0" w:space="0" w:color="auto"/>
            <w:right w:val="none" w:sz="0" w:space="0" w:color="auto"/>
          </w:divBdr>
        </w:div>
      </w:divsChild>
    </w:div>
    <w:div w:id="1504973482">
      <w:bodyDiv w:val="1"/>
      <w:marLeft w:val="0"/>
      <w:marRight w:val="0"/>
      <w:marTop w:val="0"/>
      <w:marBottom w:val="0"/>
      <w:divBdr>
        <w:top w:val="none" w:sz="0" w:space="0" w:color="auto"/>
        <w:left w:val="none" w:sz="0" w:space="0" w:color="auto"/>
        <w:bottom w:val="none" w:sz="0" w:space="0" w:color="auto"/>
        <w:right w:val="none" w:sz="0" w:space="0" w:color="auto"/>
      </w:divBdr>
      <w:divsChild>
        <w:div w:id="276373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131849">
      <w:bodyDiv w:val="1"/>
      <w:marLeft w:val="0"/>
      <w:marRight w:val="0"/>
      <w:marTop w:val="0"/>
      <w:marBottom w:val="0"/>
      <w:divBdr>
        <w:top w:val="none" w:sz="0" w:space="0" w:color="auto"/>
        <w:left w:val="none" w:sz="0" w:space="0" w:color="auto"/>
        <w:bottom w:val="none" w:sz="0" w:space="0" w:color="auto"/>
        <w:right w:val="none" w:sz="0" w:space="0" w:color="auto"/>
      </w:divBdr>
    </w:div>
    <w:div w:id="2067601633">
      <w:bodyDiv w:val="1"/>
      <w:marLeft w:val="0"/>
      <w:marRight w:val="0"/>
      <w:marTop w:val="0"/>
      <w:marBottom w:val="0"/>
      <w:divBdr>
        <w:top w:val="none" w:sz="0" w:space="0" w:color="auto"/>
        <w:left w:val="none" w:sz="0" w:space="0" w:color="auto"/>
        <w:bottom w:val="none" w:sz="0" w:space="0" w:color="auto"/>
        <w:right w:val="none" w:sz="0" w:space="0" w:color="auto"/>
      </w:divBdr>
      <w:divsChild>
        <w:div w:id="646592199">
          <w:marLeft w:val="0"/>
          <w:marRight w:val="0"/>
          <w:marTop w:val="0"/>
          <w:marBottom w:val="0"/>
          <w:divBdr>
            <w:top w:val="none" w:sz="0" w:space="0" w:color="auto"/>
            <w:left w:val="none" w:sz="0" w:space="0" w:color="auto"/>
            <w:bottom w:val="none" w:sz="0" w:space="0" w:color="auto"/>
            <w:right w:val="none" w:sz="0" w:space="0" w:color="auto"/>
          </w:divBdr>
          <w:divsChild>
            <w:div w:id="20480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2026-05-05T14:06:00Z</dcterms:created>
  <dcterms:modified xsi:type="dcterms:W3CDTF">2026-05-06T05:16:00Z</dcterms:modified>
</cp:coreProperties>
</file>