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1529" w:rsidRDefault="008821B7">
      <w:pPr>
        <w:spacing w:before="240" w:after="60"/>
      </w:pPr>
      <w:r>
        <w:rPr>
          <w:b/>
          <w:bCs/>
          <w:caps/>
          <w:color w:val="1B2A4A"/>
          <w:sz w:val="48"/>
          <w:szCs w:val="48"/>
        </w:rPr>
        <w:t>EXECUTIVE SUMMARY</w:t>
      </w:r>
    </w:p>
    <w:p w:rsidR="004A1529" w:rsidRDefault="008821B7">
      <w:pPr>
        <w:spacing w:after="60"/>
      </w:pPr>
      <w:r>
        <w:rPr>
          <w:color w:val="2E5FA3"/>
          <w:sz w:val="24"/>
          <w:szCs w:val="24"/>
        </w:rPr>
        <w:t xml:space="preserve">Investment </w:t>
      </w:r>
      <w:r w:rsidR="00757BC9">
        <w:rPr>
          <w:color w:val="2E5FA3"/>
          <w:sz w:val="24"/>
          <w:szCs w:val="24"/>
        </w:rPr>
        <w:t>Analysis · Rentokil</w:t>
      </w:r>
      <w:r>
        <w:rPr>
          <w:color w:val="2E5FA3"/>
          <w:sz w:val="24"/>
          <w:szCs w:val="24"/>
        </w:rPr>
        <w:t xml:space="preserve"> Initial </w:t>
      </w:r>
      <w:r w:rsidR="00757BC9">
        <w:rPr>
          <w:color w:val="2E5FA3"/>
          <w:sz w:val="24"/>
          <w:szCs w:val="24"/>
        </w:rPr>
        <w:t>plc · FY2025</w:t>
      </w:r>
    </w:p>
    <w:p w:rsidR="004A1529" w:rsidRDefault="00000805">
      <w:pPr>
        <w:spacing w:after="400"/>
      </w:pPr>
      <w:r>
        <w:rPr>
          <w:color w:val="6B7B8D"/>
          <w:sz w:val="20"/>
          <w:szCs w:val="20"/>
        </w:rPr>
        <w:t xml:space="preserve">Analyst: </w:t>
      </w:r>
      <w:r>
        <w:rPr>
          <w:b/>
          <w:bCs/>
          <w:sz w:val="20"/>
          <w:szCs w:val="20"/>
        </w:rPr>
        <w:t>Mark Wema</w:t>
      </w:r>
      <w:r w:rsidR="008821B7">
        <w:rPr>
          <w:color w:val="6B7B8D"/>
          <w:sz w:val="20"/>
          <w:szCs w:val="20"/>
        </w:rPr>
        <w:t xml:space="preserve">   |   Date: May 2026   |   Source: Annual Report 2025   |   Status: </w:t>
      </w:r>
      <w:r w:rsidR="008821B7">
        <w:rPr>
          <w:b/>
          <w:bCs/>
          <w:color w:val="B22222"/>
          <w:sz w:val="20"/>
          <w:szCs w:val="20"/>
        </w:rPr>
        <w:t>INTERNAL USE ONLY</w:t>
      </w:r>
    </w:p>
    <w:p w:rsidR="004A1529" w:rsidRDefault="00000805">
      <w:pPr>
        <w:pBdr>
          <w:bottom w:val="single" w:sz="6" w:space="4" w:color="2E5FA3"/>
        </w:pBdr>
        <w:spacing w:before="320" w:after="80"/>
      </w:pPr>
      <w:r>
        <w:rPr>
          <w:b/>
          <w:bCs/>
          <w:caps/>
          <w:color w:val="2E5FA3"/>
          <w:sz w:val="24"/>
          <w:szCs w:val="24"/>
        </w:rPr>
        <w:t>Key Financial Metrics -</w:t>
      </w:r>
      <w:r w:rsidR="008821B7">
        <w:rPr>
          <w:b/>
          <w:bCs/>
          <w:caps/>
          <w:color w:val="2E5FA3"/>
          <w:sz w:val="24"/>
          <w:szCs w:val="24"/>
        </w:rPr>
        <w:t xml:space="preserve"> FY2025</w:t>
      </w:r>
      <w:bookmarkStart w:id="0" w:name="_GoBack"/>
      <w:bookmarkEnd w:id="0"/>
    </w:p>
    <w:p w:rsidR="004A1529" w:rsidRDefault="004A152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A152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:rsidR="004A1529" w:rsidRDefault="008821B7">
            <w:pPr>
              <w:jc w:val="center"/>
            </w:pPr>
            <w:r>
              <w:rPr>
                <w:b/>
                <w:bCs/>
                <w:color w:val="1B2A4A"/>
                <w:sz w:val="40"/>
                <w:szCs w:val="40"/>
              </w:rPr>
              <w:t>$6,908m</w:t>
            </w:r>
          </w:p>
          <w:p w:rsidR="004A1529" w:rsidRDefault="008821B7">
            <w:pPr>
              <w:spacing w:before="40" w:after="40"/>
              <w:jc w:val="center"/>
            </w:pPr>
            <w:r>
              <w:rPr>
                <w:color w:val="6B7B8D"/>
                <w:sz w:val="18"/>
                <w:szCs w:val="18"/>
              </w:rPr>
              <w:t>Total Revenue</w:t>
            </w:r>
          </w:p>
          <w:p w:rsidR="004A1529" w:rsidRDefault="008821B7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▲ +4.4% vs FY2024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:rsidR="004A1529" w:rsidRDefault="008821B7">
            <w:pPr>
              <w:jc w:val="center"/>
            </w:pPr>
            <w:r>
              <w:rPr>
                <w:b/>
                <w:bCs/>
                <w:color w:val="1B2A4A"/>
                <w:sz w:val="40"/>
                <w:szCs w:val="40"/>
              </w:rPr>
              <w:t>$1,070m</w:t>
            </w:r>
          </w:p>
          <w:p w:rsidR="004A1529" w:rsidRDefault="008821B7">
            <w:pPr>
              <w:spacing w:before="40" w:after="40"/>
              <w:jc w:val="center"/>
            </w:pPr>
            <w:r>
              <w:rPr>
                <w:color w:val="6B7B8D"/>
                <w:sz w:val="18"/>
                <w:szCs w:val="18"/>
              </w:rPr>
              <w:t>Adj. Operating Profit</w:t>
            </w:r>
          </w:p>
          <w:p w:rsidR="004A1529" w:rsidRDefault="008821B7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▲ +5.4% vs FY2024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:rsidR="004A1529" w:rsidRDefault="008821B7">
            <w:pPr>
              <w:jc w:val="center"/>
            </w:pPr>
            <w:r>
              <w:rPr>
                <w:b/>
                <w:bCs/>
                <w:color w:val="1B2A4A"/>
                <w:sz w:val="40"/>
                <w:szCs w:val="40"/>
              </w:rPr>
              <w:t>$615m</w:t>
            </w:r>
          </w:p>
          <w:p w:rsidR="004A1529" w:rsidRDefault="008821B7">
            <w:pPr>
              <w:spacing w:before="40" w:after="40"/>
              <w:jc w:val="center"/>
            </w:pPr>
            <w:r>
              <w:rPr>
                <w:color w:val="6B7B8D"/>
                <w:sz w:val="18"/>
                <w:szCs w:val="18"/>
              </w:rPr>
              <w:t>Free Cash Flow</w:t>
            </w:r>
          </w:p>
          <w:p w:rsidR="004A1529" w:rsidRDefault="008821B7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▲ +24.5% vs FY2024</w:t>
            </w:r>
          </w:p>
        </w:tc>
      </w:tr>
    </w:tbl>
    <w:p w:rsidR="004A1529" w:rsidRDefault="004A1529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A152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:rsidR="004A1529" w:rsidRDefault="008821B7">
            <w:pPr>
              <w:jc w:val="center"/>
            </w:pPr>
            <w:r>
              <w:rPr>
                <w:b/>
                <w:bCs/>
                <w:color w:val="1B2A4A"/>
                <w:sz w:val="40"/>
                <w:szCs w:val="40"/>
              </w:rPr>
              <w:t>15.5%</w:t>
            </w:r>
          </w:p>
          <w:p w:rsidR="004A1529" w:rsidRDefault="008821B7">
            <w:pPr>
              <w:spacing w:before="40" w:after="40"/>
              <w:jc w:val="center"/>
            </w:pPr>
            <w:r>
              <w:rPr>
                <w:color w:val="6B7B8D"/>
                <w:sz w:val="18"/>
                <w:szCs w:val="18"/>
              </w:rPr>
              <w:t>Operating Profit Margin</w:t>
            </w:r>
          </w:p>
          <w:p w:rsidR="004A1529" w:rsidRDefault="008821B7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▲ +0.3pp improvement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:rsidR="004A1529" w:rsidRDefault="008821B7">
            <w:pPr>
              <w:jc w:val="center"/>
            </w:pPr>
            <w:r>
              <w:rPr>
                <w:b/>
                <w:bCs/>
                <w:color w:val="1B2A4A"/>
                <w:sz w:val="40"/>
                <w:szCs w:val="40"/>
              </w:rPr>
              <w:t>97.6%</w:t>
            </w:r>
          </w:p>
          <w:p w:rsidR="004A1529" w:rsidRDefault="008821B7">
            <w:pPr>
              <w:spacing w:before="40" w:after="40"/>
              <w:jc w:val="center"/>
            </w:pPr>
            <w:r>
              <w:rPr>
                <w:color w:val="6B7B8D"/>
                <w:sz w:val="18"/>
                <w:szCs w:val="18"/>
              </w:rPr>
              <w:t>FCF Conversion</w:t>
            </w:r>
          </w:p>
          <w:p w:rsidR="004A1529" w:rsidRDefault="008821B7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vs 80% target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60" w:type="dxa"/>
              <w:left w:w="180" w:type="dxa"/>
              <w:bottom w:w="160" w:type="dxa"/>
              <w:right w:w="180" w:type="dxa"/>
            </w:tcMar>
            <w:vAlign w:val="center"/>
          </w:tcPr>
          <w:p w:rsidR="004A1529" w:rsidRDefault="008821B7">
            <w:pPr>
              <w:jc w:val="center"/>
            </w:pPr>
            <w:r>
              <w:rPr>
                <w:b/>
                <w:bCs/>
                <w:color w:val="1B2A4A"/>
                <w:sz w:val="40"/>
                <w:szCs w:val="40"/>
              </w:rPr>
              <w:t>2.6x</w:t>
            </w:r>
          </w:p>
          <w:p w:rsidR="004A1529" w:rsidRDefault="008821B7">
            <w:pPr>
              <w:spacing w:before="40" w:after="40"/>
              <w:jc w:val="center"/>
            </w:pPr>
            <w:r>
              <w:rPr>
                <w:color w:val="6B7B8D"/>
                <w:sz w:val="18"/>
                <w:szCs w:val="18"/>
              </w:rPr>
              <w:t>Net Debt / EBITDA</w:t>
            </w:r>
          </w:p>
          <w:p w:rsidR="004A1529" w:rsidRDefault="008821B7">
            <w:pPr>
              <w:jc w:val="center"/>
            </w:pPr>
            <w:r>
              <w:rPr>
                <w:b/>
                <w:bCs/>
                <w:color w:val="1A7A4A"/>
                <w:sz w:val="18"/>
                <w:szCs w:val="18"/>
              </w:rPr>
              <w:t>▼ Reduced from 2.9x</w:t>
            </w:r>
          </w:p>
        </w:tc>
      </w:tr>
    </w:tbl>
    <w:p w:rsidR="004A1529" w:rsidRDefault="004A1529">
      <w:pPr>
        <w:spacing w:after="220"/>
      </w:pPr>
    </w:p>
    <w:p w:rsidR="004A1529" w:rsidRDefault="008821B7">
      <w:pPr>
        <w:pBdr>
          <w:bottom w:val="single" w:sz="6" w:space="4" w:color="2E5FA3"/>
        </w:pBdr>
        <w:spacing w:before="320" w:after="80"/>
      </w:pPr>
      <w:r>
        <w:rPr>
          <w:b/>
          <w:bCs/>
          <w:caps/>
          <w:color w:val="2E5FA3"/>
          <w:sz w:val="24"/>
          <w:szCs w:val="24"/>
        </w:rPr>
        <w:t>Business Overview</w:t>
      </w:r>
    </w:p>
    <w:p w:rsidR="004A1529" w:rsidRDefault="008821B7">
      <w:pPr>
        <w:spacing w:before="120" w:after="80"/>
      </w:pPr>
      <w:r>
        <w:t xml:space="preserve">Rentokil Initial plc is the </w:t>
      </w:r>
      <w:r>
        <w:rPr>
          <w:b/>
          <w:bCs/>
          <w:color w:val="1B2A4A"/>
        </w:rPr>
        <w:t>world's largest pest control company</w:t>
      </w:r>
      <w:r>
        <w:t>, operating across 90 countries with market-leading positions in pest control and hygiene &amp; wellbeing services. Following the £3.5bn acquisition of Terminix in 2022, the group now generates a</w:t>
      </w:r>
      <w:r>
        <w:t xml:space="preserve">pproximately </w:t>
      </w:r>
      <w:r>
        <w:rPr>
          <w:b/>
          <w:bCs/>
        </w:rPr>
        <w:t>62% of revenue from North America</w:t>
      </w:r>
      <w:r>
        <w:t xml:space="preserve">. </w:t>
      </w:r>
      <w:r w:rsidR="00757BC9">
        <w:t>Recurring contracted revenues (~ 70% of total); low customer churn and a proven M&amp;A-led consolidation strategy in highly fragmented markets characterize the business</w:t>
      </w:r>
      <w:r>
        <w:t>.</w:t>
      </w:r>
    </w:p>
    <w:p w:rsidR="004A1529" w:rsidRDefault="004A1529">
      <w:pPr>
        <w:spacing w:after="160"/>
      </w:pPr>
    </w:p>
    <w:p w:rsidR="004A1529" w:rsidRDefault="008821B7">
      <w:pPr>
        <w:pBdr>
          <w:bottom w:val="single" w:sz="6" w:space="4" w:color="2E5FA3"/>
        </w:pBdr>
        <w:spacing w:before="320" w:after="80"/>
      </w:pPr>
      <w:r>
        <w:rPr>
          <w:b/>
          <w:bCs/>
          <w:caps/>
          <w:color w:val="2E5FA3"/>
          <w:sz w:val="24"/>
          <w:szCs w:val="24"/>
        </w:rPr>
        <w:t>Three Primary Revenue Drivers</w:t>
      </w:r>
    </w:p>
    <w:p w:rsidR="004A1529" w:rsidRDefault="004A15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8853"/>
      </w:tblGrid>
      <w:tr w:rsidR="004A1529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4A1529" w:rsidRDefault="008821B7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01</w:t>
            </w:r>
          </w:p>
        </w:tc>
        <w:tc>
          <w:tcPr>
            <w:tcW w:w="888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4A1529" w:rsidRDefault="00000805"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>North America Pest Control -</w:t>
            </w:r>
            <w:r w:rsidR="008821B7">
              <w:rPr>
                <w:b/>
                <w:bCs/>
                <w:color w:val="1B2A4A"/>
                <w:sz w:val="21"/>
                <w:szCs w:val="21"/>
              </w:rPr>
              <w:t xml:space="preserve"> The Engine Room ($4,148m / 60% of Revenue)</w:t>
            </w:r>
          </w:p>
          <w:p w:rsidR="004A1529" w:rsidRDefault="008821B7">
            <w:r>
              <w:rPr>
                <w:sz w:val="20"/>
                <w:szCs w:val="20"/>
              </w:rPr>
              <w:t xml:space="preserve">The core business, built around the Terminix and Rentokil brands across the US. Revenue grew 3.1% in FY2025, with organic growth accelerating from 0.1% in H1 to 2.6% in Q4. Driven by </w:t>
            </w:r>
            <w:r>
              <w:rPr>
                <w:sz w:val="20"/>
                <w:szCs w:val="20"/>
              </w:rPr>
              <w:t>pricing power on annual contract</w:t>
            </w:r>
            <w:r w:rsidR="00000805">
              <w:rPr>
                <w:sz w:val="20"/>
                <w:szCs w:val="20"/>
              </w:rPr>
              <w:t>s, increasing regulatory demand</w:t>
            </w:r>
            <w:r>
              <w:rPr>
                <w:sz w:val="20"/>
                <w:szCs w:val="20"/>
              </w:rPr>
              <w:t xml:space="preserve"> and structural market tailwinds including climate change and </w:t>
            </w:r>
            <w:r w:rsidR="00757BC9">
              <w:rPr>
                <w:sz w:val="20"/>
                <w:szCs w:val="20"/>
              </w:rPr>
              <w:t>urbanization</w:t>
            </w:r>
            <w:r>
              <w:rPr>
                <w:sz w:val="20"/>
                <w:szCs w:val="20"/>
              </w:rPr>
              <w:t>.</w:t>
            </w:r>
          </w:p>
        </w:tc>
      </w:tr>
      <w:tr w:rsidR="004A1529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4A1529" w:rsidRDefault="008821B7">
            <w:pPr>
              <w:jc w:val="center"/>
            </w:pPr>
            <w:r>
              <w:rPr>
                <w:b/>
                <w:bCs/>
                <w:color w:val="2E5FA3"/>
                <w:sz w:val="24"/>
                <w:szCs w:val="24"/>
              </w:rPr>
              <w:t>02</w:t>
            </w:r>
          </w:p>
        </w:tc>
        <w:tc>
          <w:tcPr>
            <w:tcW w:w="888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4A1529" w:rsidRDefault="00000805"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>International Pest Control -</w:t>
            </w:r>
            <w:r w:rsidR="008821B7">
              <w:rPr>
                <w:b/>
                <w:bCs/>
                <w:color w:val="1B2A4A"/>
                <w:sz w:val="21"/>
                <w:szCs w:val="21"/>
              </w:rPr>
              <w:t xml:space="preserve"> The Growth Engine ($1,555m)</w:t>
            </w:r>
          </w:p>
          <w:p w:rsidR="004A1529" w:rsidRDefault="008821B7">
            <w:r>
              <w:rPr>
                <w:sz w:val="20"/>
                <w:szCs w:val="20"/>
              </w:rPr>
              <w:t>Pest control across 88 international countries grew 5.4% in FY2025. Strongest momentum in UK, Southe</w:t>
            </w:r>
            <w:r w:rsidR="00000805">
              <w:rPr>
                <w:sz w:val="20"/>
                <w:szCs w:val="20"/>
              </w:rPr>
              <w:t>rn Europe, India and Indonesia -</w:t>
            </w:r>
            <w:r>
              <w:rPr>
                <w:sz w:val="20"/>
                <w:szCs w:val="20"/>
              </w:rPr>
              <w:t xml:space="preserve"> faster-growing economies where pest control adoption is still expanding. Organic revenue growth of 3.7%, making this the hi</w:t>
            </w:r>
            <w:r>
              <w:rPr>
                <w:sz w:val="20"/>
                <w:szCs w:val="20"/>
              </w:rPr>
              <w:t>ghest-quality growth segment in the portfolio.</w:t>
            </w:r>
          </w:p>
        </w:tc>
      </w:tr>
      <w:tr w:rsidR="004A1529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6F9"/>
            <w:tcMar>
              <w:top w:w="140" w:type="dxa"/>
              <w:left w:w="120" w:type="dxa"/>
              <w:bottom w:w="140" w:type="dxa"/>
              <w:right w:w="120" w:type="dxa"/>
            </w:tcMar>
          </w:tcPr>
          <w:p w:rsidR="004A1529" w:rsidRDefault="008821B7">
            <w:pPr>
              <w:jc w:val="center"/>
            </w:pPr>
            <w:r>
              <w:rPr>
                <w:b/>
                <w:bCs/>
                <w:color w:val="2E5FA3"/>
                <w:sz w:val="24"/>
                <w:szCs w:val="24"/>
              </w:rPr>
              <w:t>03</w:t>
            </w:r>
          </w:p>
        </w:tc>
        <w:tc>
          <w:tcPr>
            <w:tcW w:w="888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4A1529" w:rsidRDefault="00000805"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>Hygiene &amp; Wellbeing -</w:t>
            </w:r>
            <w:r w:rsidR="008821B7">
              <w:rPr>
                <w:b/>
                <w:bCs/>
                <w:color w:val="1B2A4A"/>
                <w:sz w:val="21"/>
                <w:szCs w:val="21"/>
              </w:rPr>
              <w:t xml:space="preserve"> Recurring Services ($1,205m)</w:t>
            </w:r>
          </w:p>
          <w:p w:rsidR="004A1529" w:rsidRDefault="008821B7">
            <w:r>
              <w:rPr>
                <w:sz w:val="20"/>
                <w:szCs w:val="20"/>
              </w:rPr>
              <w:lastRenderedPageBreak/>
              <w:t xml:space="preserve">Washroom services, air hygiene and wellbeing solutions, predominantly under multi-year contracts. Revenue grew 4.3% organically. High-retention, low-churn economics mirror the pest control model, with the added benefit of geographic diversification across </w:t>
            </w:r>
            <w:r>
              <w:rPr>
                <w:sz w:val="20"/>
                <w:szCs w:val="20"/>
              </w:rPr>
              <w:t>the international footprint.</w:t>
            </w:r>
          </w:p>
        </w:tc>
      </w:tr>
    </w:tbl>
    <w:p w:rsidR="004A1529" w:rsidRDefault="004A1529">
      <w:pPr>
        <w:spacing w:after="220"/>
      </w:pPr>
    </w:p>
    <w:p w:rsidR="004A1529" w:rsidRDefault="008821B7">
      <w:pPr>
        <w:pBdr>
          <w:bottom w:val="single" w:sz="6" w:space="4" w:color="2E5FA3"/>
        </w:pBdr>
        <w:spacing w:before="320" w:after="80"/>
      </w:pPr>
      <w:r>
        <w:rPr>
          <w:b/>
          <w:bCs/>
          <w:caps/>
          <w:color w:val="2E5FA3"/>
          <w:sz w:val="24"/>
          <w:szCs w:val="24"/>
        </w:rPr>
        <w:t>Three Principal Risks</w:t>
      </w:r>
    </w:p>
    <w:p w:rsidR="004A1529" w:rsidRDefault="004A15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184"/>
        <w:gridCol w:w="6476"/>
      </w:tblGrid>
      <w:tr w:rsidR="004A1529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22222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:rsidR="004A1529" w:rsidRDefault="008821B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4F6F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4A1529" w:rsidRDefault="008821B7">
            <w:r>
              <w:rPr>
                <w:b/>
                <w:bCs/>
                <w:color w:val="1B2A4A"/>
                <w:sz w:val="20"/>
                <w:szCs w:val="20"/>
              </w:rPr>
              <w:t>North America Integration Risk</w:t>
            </w:r>
          </w:p>
        </w:tc>
        <w:tc>
          <w:tcPr>
            <w:tcW w:w="668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4A1529" w:rsidRDefault="008821B7">
            <w:r>
              <w:rPr>
                <w:sz w:val="20"/>
                <w:szCs w:val="20"/>
              </w:rPr>
              <w:t xml:space="preserve">The Terminix integration remains incomplete. North America operating margins sit at ~17% vs. a 20%+ target set for 2027. A $100m cost reduction programme is tracking with only ~$25m </w:t>
            </w:r>
            <w:r w:rsidR="00757BC9">
              <w:rPr>
                <w:sz w:val="20"/>
                <w:szCs w:val="20"/>
              </w:rPr>
              <w:t>realized</w:t>
            </w:r>
            <w:r>
              <w:rPr>
                <w:sz w:val="20"/>
                <w:szCs w:val="20"/>
              </w:rPr>
              <w:t xml:space="preserve"> to date. Failure to execute is the single biggest risk to the inv</w:t>
            </w:r>
            <w:r>
              <w:rPr>
                <w:sz w:val="20"/>
                <w:szCs w:val="20"/>
              </w:rPr>
              <w:t>estment thesis.</w:t>
            </w:r>
          </w:p>
        </w:tc>
      </w:tr>
      <w:tr w:rsidR="004A1529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22222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:rsidR="004A1529" w:rsidRDefault="008821B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4F6F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4A1529" w:rsidRDefault="008821B7">
            <w:r>
              <w:rPr>
                <w:b/>
                <w:bCs/>
                <w:color w:val="1B2A4A"/>
                <w:sz w:val="20"/>
                <w:szCs w:val="20"/>
              </w:rPr>
              <w:t>Macroeconomic &amp; Leverage Risk</w:t>
            </w:r>
          </w:p>
        </w:tc>
        <w:tc>
          <w:tcPr>
            <w:tcW w:w="668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4A1529" w:rsidRDefault="008821B7">
            <w:r>
              <w:rPr>
                <w:sz w:val="20"/>
                <w:szCs w:val="20"/>
              </w:rPr>
              <w:t>Net Debt/EBITDA of 2.6x and significant bond maturities (€850m in June 2027, €600m in October 2028) expose the group to refinancing risk in a higher-rate environment. Interest costs rose $29m year-on-year</w:t>
            </w:r>
            <w:r>
              <w:rPr>
                <w:sz w:val="20"/>
                <w:szCs w:val="20"/>
              </w:rPr>
              <w:t xml:space="preserve"> in FY2025. Termite litigation provisions added $287m in one-off costs.</w:t>
            </w:r>
          </w:p>
        </w:tc>
      </w:tr>
      <w:tr w:rsidR="004A1529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B0000"/>
            <w:tcMar>
              <w:top w:w="140" w:type="dxa"/>
              <w:left w:w="80" w:type="dxa"/>
              <w:bottom w:w="140" w:type="dxa"/>
              <w:right w:w="80" w:type="dxa"/>
            </w:tcMar>
            <w:vAlign w:val="center"/>
          </w:tcPr>
          <w:p w:rsidR="004A1529" w:rsidRDefault="008821B7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HIGH↑</w:t>
            </w:r>
          </w:p>
        </w:tc>
        <w:tc>
          <w:tcPr>
            <w:tcW w:w="2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4F6F9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4A1529" w:rsidRDefault="008821B7">
            <w:r>
              <w:rPr>
                <w:b/>
                <w:bCs/>
                <w:color w:val="1B2A4A"/>
                <w:sz w:val="20"/>
                <w:szCs w:val="20"/>
              </w:rPr>
              <w:t>Cyber &amp; Business Continuity Risk</w:t>
            </w:r>
          </w:p>
        </w:tc>
        <w:tc>
          <w:tcPr>
            <w:tcW w:w="668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4A1529" w:rsidRDefault="008821B7">
            <w:r>
              <w:rPr>
                <w:sz w:val="20"/>
                <w:szCs w:val="20"/>
              </w:rPr>
              <w:t>Rated HIGH with an INCREASING trend by the Board. As a business operating connected devices (PestConnect cameras, digital monitoring) across 90 countries with millions of customer records, a material cyber incident could be operationally and reputationally</w:t>
            </w:r>
            <w:r>
              <w:rPr>
                <w:sz w:val="20"/>
                <w:szCs w:val="20"/>
              </w:rPr>
              <w:t xml:space="preserve"> devastating.</w:t>
            </w:r>
          </w:p>
        </w:tc>
      </w:tr>
    </w:tbl>
    <w:p w:rsidR="004A1529" w:rsidRDefault="004A1529">
      <w:pPr>
        <w:spacing w:after="220"/>
      </w:pPr>
    </w:p>
    <w:p w:rsidR="004A1529" w:rsidRDefault="008821B7">
      <w:pPr>
        <w:pBdr>
          <w:bottom w:val="single" w:sz="6" w:space="4" w:color="2E5FA3"/>
        </w:pBdr>
        <w:spacing w:before="320" w:after="80"/>
      </w:pPr>
      <w:r>
        <w:rPr>
          <w:b/>
          <w:bCs/>
          <w:caps/>
          <w:color w:val="2E5FA3"/>
          <w:sz w:val="24"/>
          <w:szCs w:val="24"/>
        </w:rPr>
        <w:t>Peer Comparison</w:t>
      </w:r>
    </w:p>
    <w:p w:rsidR="004A1529" w:rsidRDefault="004A1529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1200"/>
        <w:gridCol w:w="4760"/>
      </w:tblGrid>
      <w:tr w:rsidR="004A152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A1529" w:rsidRDefault="008821B7"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A1529" w:rsidRDefault="008821B7">
            <w:r>
              <w:rPr>
                <w:b/>
                <w:bCs/>
                <w:color w:val="FFFFFF"/>
                <w:sz w:val="20"/>
                <w:szCs w:val="20"/>
              </w:rPr>
              <w:t>Revenue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A1529" w:rsidRDefault="008821B7">
            <w:r>
              <w:rPr>
                <w:b/>
                <w:bCs/>
                <w:color w:val="FFFFFF"/>
                <w:sz w:val="20"/>
                <w:szCs w:val="20"/>
              </w:rPr>
              <w:t>Listed?</w:t>
            </w:r>
          </w:p>
        </w:tc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A1529" w:rsidRDefault="008821B7">
            <w:r>
              <w:rPr>
                <w:b/>
                <w:bCs/>
                <w:color w:val="FFFFFF"/>
                <w:sz w:val="20"/>
                <w:szCs w:val="20"/>
              </w:rPr>
              <w:t>Key Differentiator vs. Rentokil</w:t>
            </w:r>
          </w:p>
        </w:tc>
      </w:tr>
      <w:tr w:rsidR="004A152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1529" w:rsidRDefault="008821B7">
            <w:r>
              <w:rPr>
                <w:sz w:val="20"/>
                <w:szCs w:val="20"/>
              </w:rPr>
              <w:t>Rollins (Orkin)</w:t>
            </w:r>
          </w:p>
        </w:tc>
        <w:tc>
          <w:tcPr>
            <w:tcW w:w="16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1529" w:rsidRDefault="008821B7">
            <w:r>
              <w:rPr>
                <w:sz w:val="20"/>
                <w:szCs w:val="20"/>
              </w:rPr>
              <w:t>~$3.4bn</w:t>
            </w:r>
          </w:p>
        </w:tc>
        <w:tc>
          <w:tcPr>
            <w:tcW w:w="1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1529" w:rsidRDefault="008821B7">
            <w:r>
              <w:rPr>
                <w:sz w:val="20"/>
                <w:szCs w:val="20"/>
              </w:rPr>
              <w:t>Yes (NYSE)</w:t>
            </w:r>
          </w:p>
        </w:tc>
        <w:tc>
          <w:tcPr>
            <w:tcW w:w="4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1529" w:rsidRDefault="008821B7">
            <w:r>
              <w:rPr>
                <w:sz w:val="20"/>
                <w:szCs w:val="20"/>
              </w:rPr>
              <w:t>Pure-play pest control, higher margins (~20%), US-focused</w:t>
            </w:r>
          </w:p>
        </w:tc>
      </w:tr>
      <w:tr w:rsidR="004A152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1529" w:rsidRDefault="008821B7">
            <w:r>
              <w:rPr>
                <w:sz w:val="20"/>
                <w:szCs w:val="20"/>
              </w:rPr>
              <w:t>Ecolab Pest</w:t>
            </w:r>
          </w:p>
        </w:tc>
        <w:tc>
          <w:tcPr>
            <w:tcW w:w="16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1529" w:rsidRDefault="008821B7">
            <w:r>
              <w:rPr>
                <w:sz w:val="20"/>
                <w:szCs w:val="20"/>
              </w:rPr>
              <w:t>Part of $15bn+</w:t>
            </w:r>
          </w:p>
        </w:tc>
        <w:tc>
          <w:tcPr>
            <w:tcW w:w="1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1529" w:rsidRDefault="008821B7">
            <w:r>
              <w:rPr>
                <w:sz w:val="20"/>
                <w:szCs w:val="20"/>
              </w:rPr>
              <w:t>Yes (NYSE)</w:t>
            </w:r>
          </w:p>
        </w:tc>
        <w:tc>
          <w:tcPr>
            <w:tcW w:w="4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1529" w:rsidRDefault="008821B7">
            <w:r>
              <w:rPr>
                <w:sz w:val="20"/>
                <w:szCs w:val="20"/>
              </w:rPr>
              <w:t>Pest bundled with hygiene &amp; chemistry; science-led positioning</w:t>
            </w:r>
          </w:p>
        </w:tc>
      </w:tr>
      <w:tr w:rsidR="004A152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1529" w:rsidRDefault="008821B7">
            <w:r>
              <w:rPr>
                <w:sz w:val="20"/>
                <w:szCs w:val="20"/>
              </w:rPr>
              <w:t>Anticimex</w:t>
            </w:r>
          </w:p>
        </w:tc>
        <w:tc>
          <w:tcPr>
            <w:tcW w:w="16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1529" w:rsidRDefault="008821B7">
            <w:r>
              <w:rPr>
                <w:sz w:val="20"/>
                <w:szCs w:val="20"/>
              </w:rPr>
              <w:t>~€1bn</w:t>
            </w:r>
          </w:p>
        </w:tc>
        <w:tc>
          <w:tcPr>
            <w:tcW w:w="120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1529" w:rsidRDefault="008821B7">
            <w:r>
              <w:rPr>
                <w:sz w:val="20"/>
                <w:szCs w:val="20"/>
              </w:rPr>
              <w:t>No (PE: EQT)</w:t>
            </w:r>
          </w:p>
        </w:tc>
        <w:tc>
          <w:tcPr>
            <w:tcW w:w="4760" w:type="dxa"/>
            <w:tcBorders>
              <w:top w:val="single" w:sz="1" w:space="0" w:color="CCCCCC"/>
              <w:left w:val="none" w:sz="0" w:space="0" w:color="FFFFFF"/>
              <w:bottom w:val="single" w:sz="1" w:space="0" w:color="CCCCCC"/>
              <w:right w:val="none" w:sz="0" w:space="0" w:color="FFFFFF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A1529" w:rsidRDefault="008821B7">
            <w:r>
              <w:rPr>
                <w:sz w:val="20"/>
                <w:szCs w:val="20"/>
              </w:rPr>
              <w:t>Tech-forward smart traps, European focus, smaller scale</w:t>
            </w:r>
          </w:p>
        </w:tc>
      </w:tr>
    </w:tbl>
    <w:p w:rsidR="004A1529" w:rsidRDefault="004A1529">
      <w:pPr>
        <w:spacing w:after="220"/>
      </w:pPr>
    </w:p>
    <w:p w:rsidR="004A1529" w:rsidRDefault="008821B7">
      <w:pPr>
        <w:pBdr>
          <w:bottom w:val="single" w:sz="6" w:space="4" w:color="2E5FA3"/>
        </w:pBdr>
        <w:spacing w:before="320" w:after="80"/>
      </w:pPr>
      <w:r>
        <w:rPr>
          <w:b/>
          <w:bCs/>
          <w:caps/>
          <w:color w:val="2E5FA3"/>
          <w:sz w:val="24"/>
          <w:szCs w:val="24"/>
        </w:rPr>
        <w:t>PE Attractiveness Assessment</w:t>
      </w:r>
    </w:p>
    <w:p w:rsidR="004A1529" w:rsidRDefault="008821B7">
      <w:pPr>
        <w:spacing w:before="120" w:after="120"/>
      </w:pPr>
      <w:r>
        <w:rPr>
          <w:color w:val="6B7B8D"/>
        </w:rPr>
        <w:t xml:space="preserve">Overall Verdict:  </w:t>
      </w:r>
      <w:r w:rsidR="00000805">
        <w:rPr>
          <w:b/>
          <w:bCs/>
          <w:color w:val="1B2A4A"/>
        </w:rPr>
        <w:t>Highly Attractive Sector -</w:t>
      </w:r>
      <w:r>
        <w:rPr>
          <w:b/>
          <w:bCs/>
          <w:color w:val="1B2A4A"/>
        </w:rPr>
        <w:t xml:space="preserve"> Acquisition Too Large for Single PE Fund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A152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4A1529" w:rsidRDefault="008821B7">
            <w:pPr>
              <w:spacing w:after="120"/>
            </w:pPr>
            <w:r>
              <w:rPr>
                <w:b/>
                <w:bCs/>
                <w:color w:val="1A7A4A"/>
              </w:rPr>
              <w:t>✓</w:t>
            </w:r>
            <w:r>
              <w:rPr>
                <w:b/>
                <w:bCs/>
                <w:color w:val="1A7A4A"/>
              </w:rPr>
              <w:t xml:space="preserve">  What Makes it Attractive</w:t>
            </w:r>
          </w:p>
          <w:p w:rsidR="004A1529" w:rsidRDefault="008821B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Recurring Revenue: </w:t>
            </w:r>
            <w:r>
              <w:rPr>
                <w:sz w:val="20"/>
                <w:szCs w:val="20"/>
              </w:rPr>
              <w:t>~70% contrac</w:t>
            </w:r>
            <w:r w:rsidR="00000805">
              <w:rPr>
                <w:sz w:val="20"/>
                <w:szCs w:val="20"/>
              </w:rPr>
              <w:t>ted, high retention, low churn -</w:t>
            </w:r>
            <w:r>
              <w:rPr>
                <w:sz w:val="20"/>
                <w:szCs w:val="20"/>
              </w:rPr>
              <w:t xml:space="preserve"> predictable cash flows PE firms love to underwrite</w:t>
            </w:r>
          </w:p>
          <w:p w:rsidR="004A1529" w:rsidRDefault="008821B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  <w:color w:val="1B2A4A"/>
                <w:sz w:val="20"/>
                <w:szCs w:val="20"/>
              </w:rPr>
              <w:lastRenderedPageBreak/>
              <w:t xml:space="preserve">Essential Service: </w:t>
            </w:r>
            <w:r>
              <w:rPr>
                <w:sz w:val="20"/>
                <w:szCs w:val="20"/>
              </w:rPr>
              <w:t>Recession-resistant demand</w:t>
            </w:r>
            <w:r>
              <w:rPr>
                <w:sz w:val="20"/>
                <w:szCs w:val="20"/>
              </w:rPr>
              <w:t>; customers renew because the alternative is an infestation</w:t>
            </w:r>
          </w:p>
          <w:p w:rsidR="004A1529" w:rsidRDefault="008821B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Margin Expansion Story: </w:t>
            </w:r>
            <w:r>
              <w:rPr>
                <w:sz w:val="20"/>
                <w:szCs w:val="20"/>
              </w:rPr>
              <w:t xml:space="preserve">North </w:t>
            </w:r>
            <w:r w:rsidR="00000805">
              <w:rPr>
                <w:sz w:val="20"/>
                <w:szCs w:val="20"/>
              </w:rPr>
              <w:t>America at 17% vs. 20%+ target -</w:t>
            </w:r>
            <w:r>
              <w:rPr>
                <w:sz w:val="20"/>
                <w:szCs w:val="20"/>
              </w:rPr>
              <w:t xml:space="preserve"> clear, quantified operational upside to pursue</w:t>
            </w:r>
          </w:p>
          <w:p w:rsidR="004A1529" w:rsidRDefault="008821B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M&amp;A Platform: </w:t>
            </w:r>
            <w:r>
              <w:rPr>
                <w:sz w:val="20"/>
                <w:szCs w:val="20"/>
              </w:rPr>
              <w:t>Highly fragmented market; Rentokil's own bolt-on programme mirrors PE consolidation playbook</w:t>
            </w:r>
          </w:p>
          <w:p w:rsidR="004A1529" w:rsidRDefault="008821B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 xml:space="preserve">FCF Quality: </w:t>
            </w:r>
            <w:r>
              <w:rPr>
                <w:sz w:val="20"/>
                <w:szCs w:val="20"/>
              </w:rPr>
              <w:t>$</w:t>
            </w:r>
            <w:r w:rsidR="00000805">
              <w:rPr>
                <w:sz w:val="20"/>
                <w:szCs w:val="20"/>
              </w:rPr>
              <w:t>615m FCF with 97.6% conversion -</w:t>
            </w:r>
            <w:r>
              <w:rPr>
                <w:sz w:val="20"/>
                <w:szCs w:val="20"/>
              </w:rPr>
              <w:t xml:space="preserve"> strong debt service and reinvestment capacity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0F0"/>
            <w:tcMar>
              <w:top w:w="140" w:type="dxa"/>
              <w:left w:w="160" w:type="dxa"/>
              <w:bottom w:w="140" w:type="dxa"/>
              <w:right w:w="160" w:type="dxa"/>
            </w:tcMar>
          </w:tcPr>
          <w:p w:rsidR="004A1529" w:rsidRDefault="008821B7">
            <w:pPr>
              <w:spacing w:after="120"/>
            </w:pPr>
            <w:r>
              <w:rPr>
                <w:b/>
                <w:bCs/>
                <w:color w:val="B22222"/>
              </w:rPr>
              <w:lastRenderedPageBreak/>
              <w:t>✗</w:t>
            </w:r>
            <w:r>
              <w:rPr>
                <w:b/>
                <w:bCs/>
                <w:color w:val="B22222"/>
              </w:rPr>
              <w:t xml:space="preserve">  Key Concerns for a PE Buyer</w:t>
            </w:r>
          </w:p>
          <w:p w:rsidR="004A1529" w:rsidRDefault="008821B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  <w:color w:val="B22222"/>
                <w:sz w:val="20"/>
                <w:szCs w:val="20"/>
              </w:rPr>
              <w:t xml:space="preserve">Size: </w:t>
            </w:r>
            <w:r>
              <w:rPr>
                <w:sz w:val="20"/>
                <w:szCs w:val="20"/>
              </w:rPr>
              <w:t>Market cap of ~£7-8bn puts full buyo</w:t>
            </w:r>
            <w:r w:rsidR="00000805">
              <w:rPr>
                <w:sz w:val="20"/>
                <w:szCs w:val="20"/>
              </w:rPr>
              <w:t>ut beyond most single PE funds -</w:t>
            </w:r>
            <w:r>
              <w:rPr>
                <w:sz w:val="20"/>
                <w:szCs w:val="20"/>
              </w:rPr>
              <w:t xml:space="preserve"> consortium deal only</w:t>
            </w:r>
          </w:p>
          <w:p w:rsidR="004A1529" w:rsidRDefault="008821B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  <w:color w:val="B22222"/>
                <w:sz w:val="20"/>
                <w:szCs w:val="20"/>
              </w:rPr>
              <w:lastRenderedPageBreak/>
              <w:t xml:space="preserve">Leverage: </w:t>
            </w:r>
            <w:r>
              <w:rPr>
                <w:sz w:val="20"/>
                <w:szCs w:val="20"/>
              </w:rPr>
              <w:t>Net D</w:t>
            </w:r>
            <w:r w:rsidR="00000805">
              <w:rPr>
                <w:sz w:val="20"/>
                <w:szCs w:val="20"/>
              </w:rPr>
              <w:t>ebt/EBITDA of 2.6x before deal -</w:t>
            </w:r>
            <w:r>
              <w:rPr>
                <w:sz w:val="20"/>
                <w:szCs w:val="20"/>
              </w:rPr>
              <w:t xml:space="preserve"> PE would add more debt, creating refinancing risk</w:t>
            </w:r>
          </w:p>
          <w:p w:rsidR="004A1529" w:rsidRDefault="008821B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  <w:color w:val="B22222"/>
                <w:sz w:val="20"/>
                <w:szCs w:val="20"/>
              </w:rPr>
              <w:t xml:space="preserve">Integration Risk: </w:t>
            </w:r>
            <w:r>
              <w:rPr>
                <w:sz w:val="20"/>
                <w:szCs w:val="20"/>
              </w:rPr>
              <w:t>Terminix integration still in progress; $100m savi</w:t>
            </w:r>
            <w:r>
              <w:rPr>
                <w:sz w:val="20"/>
                <w:szCs w:val="20"/>
              </w:rPr>
              <w:t>ngs not yet fully delivered</w:t>
            </w:r>
          </w:p>
          <w:p w:rsidR="004A1529" w:rsidRDefault="008821B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  <w:color w:val="B22222"/>
                <w:sz w:val="20"/>
                <w:szCs w:val="20"/>
              </w:rPr>
              <w:t xml:space="preserve">Termite Litigation: </w:t>
            </w:r>
            <w:r w:rsidR="00000805">
              <w:rPr>
                <w:sz w:val="20"/>
                <w:szCs w:val="20"/>
              </w:rPr>
              <w:t>$287m provision in FY2025 -</w:t>
            </w:r>
            <w:r>
              <w:rPr>
                <w:sz w:val="20"/>
                <w:szCs w:val="20"/>
              </w:rPr>
              <w:t xml:space="preserve"> legacy liability from Terminix acquisition requires scrutiny</w:t>
            </w:r>
          </w:p>
          <w:p w:rsidR="004A1529" w:rsidRDefault="008821B7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b/>
                <w:bCs/>
                <w:color w:val="B22222"/>
                <w:sz w:val="20"/>
                <w:szCs w:val="20"/>
              </w:rPr>
              <w:t xml:space="preserve">Cyber Exposure: </w:t>
            </w:r>
            <w:r>
              <w:rPr>
                <w:sz w:val="20"/>
                <w:szCs w:val="20"/>
              </w:rPr>
              <w:t>HIGH and INCREASING rated risk across 90-country digital infrastructure</w:t>
            </w:r>
          </w:p>
        </w:tc>
      </w:tr>
    </w:tbl>
    <w:p w:rsidR="004A1529" w:rsidRDefault="004A1529">
      <w:pPr>
        <w:spacing w:after="180"/>
      </w:pPr>
    </w:p>
    <w:p w:rsidR="004A1529" w:rsidRDefault="008821B7">
      <w:pPr>
        <w:pBdr>
          <w:bottom w:val="single" w:sz="6" w:space="4" w:color="2E5FA3"/>
        </w:pBdr>
        <w:spacing w:before="320" w:after="80"/>
      </w:pPr>
      <w:r>
        <w:rPr>
          <w:b/>
          <w:bCs/>
          <w:caps/>
          <w:color w:val="2E5FA3"/>
          <w:sz w:val="24"/>
          <w:szCs w:val="24"/>
        </w:rPr>
        <w:t>Investment Thesis (Summary)</w:t>
      </w:r>
    </w:p>
    <w:p w:rsidR="004A1529" w:rsidRDefault="008821B7">
      <w:pPr>
        <w:pBdr>
          <w:left w:val="single" w:sz="20" w:space="12" w:color="2E5FA3"/>
        </w:pBdr>
        <w:spacing w:before="120" w:after="80"/>
        <w:ind w:left="300"/>
      </w:pPr>
      <w:r>
        <w:t>Rentokil Initial is a world-class essential services platform with compelling recurring revenue e</w:t>
      </w:r>
      <w:r w:rsidR="00000805">
        <w:t>conomics, genuine pricing power</w:t>
      </w:r>
      <w:r>
        <w:t xml:space="preserve"> and a credible margin improvement story in its largest market. The global pest control market is forecast to grow at </w:t>
      </w:r>
      <w:r>
        <w:rPr>
          <w:b/>
          <w:bCs/>
          <w:color w:val="1B2A4A"/>
        </w:rPr>
        <w:t>6.2% CAGR</w:t>
      </w:r>
      <w:r>
        <w:rPr>
          <w:b/>
          <w:bCs/>
          <w:color w:val="1B2A4A"/>
        </w:rPr>
        <w:t xml:space="preserve"> to 2035</w:t>
      </w:r>
      <w:r>
        <w:t xml:space="preserve"> and Rentokil is positioned as the clear global consolidator. While the full business is too large for a conventional PE buyout, the analytical framework applies directly to evaluating </w:t>
      </w:r>
      <w:r>
        <w:rPr>
          <w:b/>
          <w:bCs/>
          <w:color w:val="1B2A4A"/>
        </w:rPr>
        <w:t>bolt-on targets in this sector</w:t>
      </w:r>
      <w:r w:rsidR="00000805">
        <w:t xml:space="preserve"> -</w:t>
      </w:r>
      <w:r>
        <w:t xml:space="preserve"> which Rentokil itself acquire</w:t>
      </w:r>
      <w:r>
        <w:t>s regularly. A sophisticated PE investor would focus on the North America margin bridge (17% → 20%+), stress-t</w:t>
      </w:r>
      <w:r w:rsidR="00000805">
        <w:t>est the termite litigation tail</w:t>
      </w:r>
      <w:r>
        <w:t xml:space="preserve"> and model the debt refinancing schedule carefully before forming a view on entry price and returns.</w:t>
      </w:r>
    </w:p>
    <w:p w:rsidR="004A1529" w:rsidRDefault="004A1529">
      <w:pPr>
        <w:spacing w:after="400"/>
      </w:pPr>
    </w:p>
    <w:p w:rsidR="004A1529" w:rsidRDefault="008821B7">
      <w:pPr>
        <w:pBdr>
          <w:top w:val="single" w:sz="4" w:space="6" w:color="CCCCCC"/>
        </w:pBdr>
        <w:spacing w:before="120"/>
      </w:pPr>
      <w:r>
        <w:rPr>
          <w:i/>
          <w:iCs/>
          <w:color w:val="6B7B8D"/>
          <w:sz w:val="16"/>
          <w:szCs w:val="16"/>
        </w:rPr>
        <w:t xml:space="preserve">Disclaimer: </w:t>
      </w:r>
      <w:r>
        <w:rPr>
          <w:i/>
          <w:iCs/>
          <w:color w:val="6B7B8D"/>
          <w:sz w:val="16"/>
          <w:szCs w:val="16"/>
        </w:rPr>
        <w:t>This executive summary is a training exercise</w:t>
      </w:r>
      <w:r w:rsidR="00757BC9">
        <w:rPr>
          <w:i/>
          <w:iCs/>
          <w:color w:val="6B7B8D"/>
          <w:sz w:val="16"/>
          <w:szCs w:val="16"/>
        </w:rPr>
        <w:t xml:space="preserve"> that I</w:t>
      </w:r>
      <w:r>
        <w:rPr>
          <w:i/>
          <w:iCs/>
          <w:color w:val="6B7B8D"/>
          <w:sz w:val="16"/>
          <w:szCs w:val="16"/>
        </w:rPr>
        <w:t xml:space="preserve"> prepared for educational purposes as part of an investme</w:t>
      </w:r>
      <w:r w:rsidR="00757BC9">
        <w:rPr>
          <w:i/>
          <w:iCs/>
          <w:color w:val="6B7B8D"/>
          <w:sz w:val="16"/>
          <w:szCs w:val="16"/>
        </w:rPr>
        <w:t>nt analyst development</w:t>
      </w:r>
      <w:r>
        <w:rPr>
          <w:i/>
          <w:iCs/>
          <w:color w:val="6B7B8D"/>
          <w:sz w:val="16"/>
          <w:szCs w:val="16"/>
        </w:rPr>
        <w:t xml:space="preserve">. It is based solely on publicly available information from Rentokil Initial's Annual Report 2025. This document does not </w:t>
      </w:r>
      <w:r>
        <w:rPr>
          <w:i/>
          <w:iCs/>
          <w:color w:val="6B7B8D"/>
          <w:sz w:val="16"/>
          <w:szCs w:val="16"/>
        </w:rPr>
        <w:t>constitute investment advice and should not be relied upon for any investment decision.</w:t>
      </w:r>
    </w:p>
    <w:sectPr w:rsidR="004A1529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21B7" w:rsidRDefault="008821B7">
      <w:r>
        <w:separator/>
      </w:r>
    </w:p>
  </w:endnote>
  <w:endnote w:type="continuationSeparator" w:id="0">
    <w:p w:rsidR="008821B7" w:rsidRDefault="00882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529" w:rsidRDefault="00000805">
    <w:pPr>
      <w:pBdr>
        <w:top w:val="single" w:sz="4" w:space="6" w:color="2E5FA3"/>
      </w:pBdr>
      <w:spacing w:before="120"/>
    </w:pPr>
    <w:r>
      <w:rPr>
        <w:color w:val="6B7B8D"/>
        <w:sz w:val="16"/>
        <w:szCs w:val="16"/>
      </w:rPr>
      <w:t>Prepared by: Mark Wema</w:t>
    </w:r>
    <w:r w:rsidR="008821B7">
      <w:rPr>
        <w:color w:val="6B7B8D"/>
        <w:sz w:val="16"/>
        <w:szCs w:val="16"/>
      </w:rPr>
      <w:t xml:space="preserve">   |   Source: Rentokil Initial Annual Report 2025   |   Page </w:t>
    </w:r>
    <w:r w:rsidR="008821B7">
      <w:rPr>
        <w:color w:val="6B7B8D"/>
        <w:sz w:val="16"/>
        <w:szCs w:val="16"/>
      </w:rPr>
      <w:fldChar w:fldCharType="begin"/>
    </w:r>
    <w:r w:rsidR="008821B7">
      <w:rPr>
        <w:color w:val="6B7B8D"/>
        <w:sz w:val="16"/>
        <w:szCs w:val="16"/>
      </w:rPr>
      <w:instrText>PAGE</w:instrText>
    </w:r>
    <w:r>
      <w:rPr>
        <w:color w:val="6B7B8D"/>
        <w:sz w:val="16"/>
        <w:szCs w:val="16"/>
      </w:rPr>
      <w:fldChar w:fldCharType="separate"/>
    </w:r>
    <w:r w:rsidR="00757BC9">
      <w:rPr>
        <w:noProof/>
        <w:color w:val="6B7B8D"/>
        <w:sz w:val="16"/>
        <w:szCs w:val="16"/>
      </w:rPr>
      <w:t>2</w:t>
    </w:r>
    <w:r w:rsidR="008821B7">
      <w:rPr>
        <w:color w:val="6B7B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21B7" w:rsidRDefault="008821B7">
      <w:r>
        <w:separator/>
      </w:r>
    </w:p>
  </w:footnote>
  <w:footnote w:type="continuationSeparator" w:id="0">
    <w:p w:rsidR="008821B7" w:rsidRDefault="008821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1529" w:rsidRDefault="00000805">
    <w:pPr>
      <w:pBdr>
        <w:bottom w:val="single" w:sz="4" w:space="6" w:color="2E5FA3"/>
      </w:pBdr>
      <w:spacing w:after="120"/>
    </w:pPr>
    <w:r>
      <w:rPr>
        <w:caps/>
        <w:color w:val="6B7B8D"/>
        <w:sz w:val="16"/>
        <w:szCs w:val="16"/>
      </w:rPr>
      <w:t>CONFIDENTIAL -</w:t>
    </w:r>
    <w:r w:rsidR="008821B7">
      <w:rPr>
        <w:caps/>
        <w:color w:val="6B7B8D"/>
        <w:sz w:val="16"/>
        <w:szCs w:val="16"/>
      </w:rPr>
      <w:t xml:space="preserve"> INVESTMENT ANALYSIS</w:t>
    </w:r>
    <w:r w:rsidR="008821B7">
      <w:rPr>
        <w:color w:val="6B7B8D"/>
        <w:sz w:val="16"/>
        <w:szCs w:val="16"/>
      </w:rPr>
      <w:t xml:space="preserve">   |   Rentokil Initial plc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52394"/>
    <w:multiLevelType w:val="hybridMultilevel"/>
    <w:tmpl w:val="541C439A"/>
    <w:lvl w:ilvl="0" w:tplc="FDF09A6E">
      <w:start w:val="1"/>
      <w:numFmt w:val="bullet"/>
      <w:lvlText w:val="●"/>
      <w:lvlJc w:val="left"/>
      <w:pPr>
        <w:ind w:left="720" w:hanging="360"/>
      </w:pPr>
    </w:lvl>
    <w:lvl w:ilvl="1" w:tplc="F5100ABA">
      <w:start w:val="1"/>
      <w:numFmt w:val="bullet"/>
      <w:lvlText w:val="○"/>
      <w:lvlJc w:val="left"/>
      <w:pPr>
        <w:ind w:left="1440" w:hanging="360"/>
      </w:pPr>
    </w:lvl>
    <w:lvl w:ilvl="2" w:tplc="0628A658">
      <w:start w:val="1"/>
      <w:numFmt w:val="bullet"/>
      <w:lvlText w:val="■"/>
      <w:lvlJc w:val="left"/>
      <w:pPr>
        <w:ind w:left="2160" w:hanging="360"/>
      </w:pPr>
    </w:lvl>
    <w:lvl w:ilvl="3" w:tplc="1340D2AC">
      <w:start w:val="1"/>
      <w:numFmt w:val="bullet"/>
      <w:lvlText w:val="●"/>
      <w:lvlJc w:val="left"/>
      <w:pPr>
        <w:ind w:left="2880" w:hanging="360"/>
      </w:pPr>
    </w:lvl>
    <w:lvl w:ilvl="4" w:tplc="B7549378">
      <w:start w:val="1"/>
      <w:numFmt w:val="bullet"/>
      <w:lvlText w:val="○"/>
      <w:lvlJc w:val="left"/>
      <w:pPr>
        <w:ind w:left="3600" w:hanging="360"/>
      </w:pPr>
    </w:lvl>
    <w:lvl w:ilvl="5" w:tplc="F4389402">
      <w:start w:val="1"/>
      <w:numFmt w:val="bullet"/>
      <w:lvlText w:val="■"/>
      <w:lvlJc w:val="left"/>
      <w:pPr>
        <w:ind w:left="4320" w:hanging="360"/>
      </w:pPr>
    </w:lvl>
    <w:lvl w:ilvl="6" w:tplc="BC0A44EA">
      <w:start w:val="1"/>
      <w:numFmt w:val="bullet"/>
      <w:lvlText w:val="●"/>
      <w:lvlJc w:val="left"/>
      <w:pPr>
        <w:ind w:left="5040" w:hanging="360"/>
      </w:pPr>
    </w:lvl>
    <w:lvl w:ilvl="7" w:tplc="20FE3712">
      <w:start w:val="1"/>
      <w:numFmt w:val="bullet"/>
      <w:lvlText w:val="●"/>
      <w:lvlJc w:val="left"/>
      <w:pPr>
        <w:ind w:left="5760" w:hanging="360"/>
      </w:pPr>
    </w:lvl>
    <w:lvl w:ilvl="8" w:tplc="190E89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564D36"/>
    <w:multiLevelType w:val="hybridMultilevel"/>
    <w:tmpl w:val="CD642D4A"/>
    <w:lvl w:ilvl="0" w:tplc="D9DEA256">
      <w:start w:val="1"/>
      <w:numFmt w:val="bullet"/>
      <w:lvlText w:val="•"/>
      <w:lvlJc w:val="left"/>
      <w:pPr>
        <w:ind w:left="480" w:hanging="280"/>
      </w:pPr>
    </w:lvl>
    <w:lvl w:ilvl="1" w:tplc="26C009E8">
      <w:numFmt w:val="decimal"/>
      <w:lvlText w:val=""/>
      <w:lvlJc w:val="left"/>
    </w:lvl>
    <w:lvl w:ilvl="2" w:tplc="48CC1D82">
      <w:numFmt w:val="decimal"/>
      <w:lvlText w:val=""/>
      <w:lvlJc w:val="left"/>
    </w:lvl>
    <w:lvl w:ilvl="3" w:tplc="622EEFEA">
      <w:numFmt w:val="decimal"/>
      <w:lvlText w:val=""/>
      <w:lvlJc w:val="left"/>
    </w:lvl>
    <w:lvl w:ilvl="4" w:tplc="8BBC3034">
      <w:numFmt w:val="decimal"/>
      <w:lvlText w:val=""/>
      <w:lvlJc w:val="left"/>
    </w:lvl>
    <w:lvl w:ilvl="5" w:tplc="81726BDE">
      <w:numFmt w:val="decimal"/>
      <w:lvlText w:val=""/>
      <w:lvlJc w:val="left"/>
    </w:lvl>
    <w:lvl w:ilvl="6" w:tplc="82244078">
      <w:numFmt w:val="decimal"/>
      <w:lvlText w:val=""/>
      <w:lvlJc w:val="left"/>
    </w:lvl>
    <w:lvl w:ilvl="7" w:tplc="B8ECC558">
      <w:numFmt w:val="decimal"/>
      <w:lvlText w:val=""/>
      <w:lvlJc w:val="left"/>
    </w:lvl>
    <w:lvl w:ilvl="8" w:tplc="6FE40D6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529"/>
    <w:rsid w:val="00000805"/>
    <w:rsid w:val="004A1529"/>
    <w:rsid w:val="00757BC9"/>
    <w:rsid w:val="0088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82719"/>
  <w15:docId w15:val="{4BAC881E-36F9-491F-A332-F52DD2CF1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008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0805"/>
  </w:style>
  <w:style w:type="paragraph" w:styleId="Footer">
    <w:name w:val="footer"/>
    <w:basedOn w:val="Normal"/>
    <w:link w:val="FooterChar"/>
    <w:uiPriority w:val="99"/>
    <w:unhideWhenUsed/>
    <w:rsid w:val="000008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08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2026-05-05T18:51:00Z</dcterms:created>
  <dcterms:modified xsi:type="dcterms:W3CDTF">2026-05-06T05:31:00Z</dcterms:modified>
</cp:coreProperties>
</file>