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6A7" w:rsidRPr="00362EED" w:rsidRDefault="00362EED">
      <w:pPr>
        <w:spacing w:after="641"/>
        <w:ind w:left="120"/>
        <w:rPr>
          <w:rFonts w:ascii="Times New Roman" w:hAnsi="Times New Roman" w:cs="Times New Roman"/>
        </w:rPr>
      </w:pPr>
      <w:r w:rsidRPr="00362EED">
        <w:rPr>
          <w:rFonts w:ascii="Times New Roman" w:eastAsia="Arial" w:hAnsi="Times New Roman" w:cs="Times New Roman"/>
          <w:b/>
          <w:color w:val="B8912A"/>
          <w:sz w:val="16"/>
        </w:rPr>
        <w:t>NAVIEL</w:t>
      </w:r>
      <w:r w:rsidR="00A318F8" w:rsidRPr="00362EED">
        <w:rPr>
          <w:rFonts w:ascii="Times New Roman" w:eastAsia="Arial" w:hAnsi="Times New Roman" w:cs="Times New Roman"/>
          <w:b/>
          <w:color w:val="B8912A"/>
          <w:sz w:val="16"/>
        </w:rPr>
        <w:t xml:space="preserve"> CAPITAL · INVESTMENT RESEARCH</w:t>
      </w:r>
    </w:p>
    <w:p w:rsidR="008016A7" w:rsidRPr="00362EED" w:rsidRDefault="00A318F8">
      <w:pPr>
        <w:spacing w:after="9"/>
        <w:ind w:left="-5" w:hanging="10"/>
        <w:rPr>
          <w:rFonts w:ascii="Times New Roman" w:hAnsi="Times New Roman" w:cs="Times New Roman"/>
        </w:rPr>
      </w:pPr>
      <w:r w:rsidRPr="00362EED">
        <w:rPr>
          <w:rFonts w:ascii="Times New Roman" w:eastAsia="Times New Roman" w:hAnsi="Times New Roman" w:cs="Times New Roman"/>
          <w:b/>
          <w:color w:val="0E0E10"/>
          <w:sz w:val="44"/>
        </w:rPr>
        <w:t>African Sovereign</w:t>
      </w:r>
    </w:p>
    <w:p w:rsidR="008016A7" w:rsidRPr="00362EED" w:rsidRDefault="00A318F8" w:rsidP="007C7C4F">
      <w:pPr>
        <w:spacing w:after="0"/>
        <w:ind w:left="-5" w:hanging="10"/>
        <w:rPr>
          <w:rFonts w:ascii="Times New Roman" w:hAnsi="Times New Roman" w:cs="Times New Roman"/>
        </w:rPr>
      </w:pPr>
      <w:r w:rsidRPr="00362EED">
        <w:rPr>
          <w:rFonts w:ascii="Times New Roman" w:eastAsia="Times New Roman" w:hAnsi="Times New Roman" w:cs="Times New Roman"/>
          <w:b/>
          <w:color w:val="0E0E10"/>
          <w:sz w:val="44"/>
        </w:rPr>
        <w:t>Investment Analysis</w:t>
      </w:r>
    </w:p>
    <w:p w:rsidR="008016A7" w:rsidRPr="00362EED" w:rsidRDefault="008016A7" w:rsidP="007C7C4F">
      <w:pPr>
        <w:spacing w:after="0" w:line="295" w:lineRule="auto"/>
        <w:ind w:right="-15"/>
        <w:rPr>
          <w:rFonts w:ascii="Times New Roman" w:hAnsi="Times New Roman" w:cs="Times New Roman"/>
        </w:rPr>
      </w:pPr>
    </w:p>
    <w:p w:rsidR="00362EED" w:rsidRPr="00362EED" w:rsidRDefault="00362EED" w:rsidP="007C7C4F">
      <w:pPr>
        <w:spacing w:after="0" w:line="276" w:lineRule="auto"/>
        <w:ind w:left="10" w:right="-15" w:hanging="10"/>
        <w:jc w:val="right"/>
        <w:rPr>
          <w:rFonts w:ascii="Times New Roman" w:hAnsi="Times New Roman" w:cs="Times New Roman"/>
        </w:rPr>
      </w:pPr>
      <w:r w:rsidRPr="00362EED">
        <w:rPr>
          <w:rFonts w:ascii="Times New Roman" w:eastAsia="Arial" w:hAnsi="Times New Roman" w:cs="Times New Roman"/>
          <w:color w:val="8A9BAE"/>
          <w:sz w:val="16"/>
        </w:rPr>
        <w:t>DATE</w:t>
      </w:r>
    </w:p>
    <w:p w:rsidR="00362EED" w:rsidRPr="00362EED" w:rsidRDefault="00362EED" w:rsidP="007C7C4F">
      <w:pPr>
        <w:spacing w:after="0" w:line="276" w:lineRule="auto"/>
        <w:ind w:left="10" w:right="-15" w:hanging="10"/>
        <w:jc w:val="right"/>
        <w:rPr>
          <w:rFonts w:ascii="Times New Roman" w:hAnsi="Times New Roman" w:cs="Times New Roman"/>
        </w:rPr>
      </w:pPr>
      <w:r w:rsidRPr="00362EED">
        <w:rPr>
          <w:rFonts w:ascii="Times New Roman" w:eastAsia="Arial" w:hAnsi="Times New Roman" w:cs="Times New Roman"/>
          <w:b/>
          <w:color w:val="2C3E50"/>
          <w:sz w:val="18"/>
        </w:rPr>
        <w:t>June 2026</w:t>
      </w:r>
    </w:p>
    <w:p w:rsidR="008016A7" w:rsidRPr="00362EED" w:rsidRDefault="00A318F8" w:rsidP="007C7C4F">
      <w:pPr>
        <w:spacing w:after="0" w:line="276" w:lineRule="auto"/>
        <w:ind w:left="10" w:right="-15" w:hanging="10"/>
        <w:jc w:val="right"/>
        <w:rPr>
          <w:rFonts w:ascii="Times New Roman" w:hAnsi="Times New Roman" w:cs="Times New Roman"/>
        </w:rPr>
      </w:pPr>
      <w:r w:rsidRPr="00362EED">
        <w:rPr>
          <w:rFonts w:ascii="Times New Roman" w:eastAsia="Arial" w:hAnsi="Times New Roman" w:cs="Times New Roman"/>
          <w:color w:val="8A9BAE"/>
          <w:sz w:val="16"/>
        </w:rPr>
        <w:t>CLASSIFICATION</w:t>
      </w:r>
    </w:p>
    <w:p w:rsidR="008016A7" w:rsidRPr="00362EED" w:rsidRDefault="00A318F8" w:rsidP="007C7C4F">
      <w:pPr>
        <w:spacing w:after="0" w:line="276" w:lineRule="auto"/>
        <w:ind w:left="10" w:right="-15" w:hanging="10"/>
        <w:jc w:val="right"/>
        <w:rPr>
          <w:rFonts w:ascii="Times New Roman" w:hAnsi="Times New Roman" w:cs="Times New Roman"/>
        </w:rPr>
      </w:pPr>
      <w:r w:rsidRPr="00362EED">
        <w:rPr>
          <w:rFonts w:ascii="Times New Roman" w:eastAsia="Arial" w:hAnsi="Times New Roman" w:cs="Times New Roman"/>
          <w:b/>
          <w:color w:val="2C3E50"/>
          <w:sz w:val="18"/>
        </w:rPr>
        <w:t>Confidential</w:t>
      </w:r>
    </w:p>
    <w:p w:rsidR="008016A7" w:rsidRPr="00362EED" w:rsidRDefault="00A318F8" w:rsidP="007C7C4F">
      <w:pPr>
        <w:spacing w:after="0" w:line="276" w:lineRule="auto"/>
        <w:ind w:left="10" w:right="-15" w:hanging="10"/>
        <w:jc w:val="right"/>
        <w:rPr>
          <w:rFonts w:ascii="Times New Roman" w:hAnsi="Times New Roman" w:cs="Times New Roman"/>
        </w:rPr>
      </w:pPr>
      <w:r w:rsidRPr="00362EED">
        <w:rPr>
          <w:rFonts w:ascii="Times New Roman" w:eastAsia="Arial" w:hAnsi="Times New Roman" w:cs="Times New Roman"/>
          <w:color w:val="8A9BAE"/>
          <w:sz w:val="16"/>
        </w:rPr>
        <w:t>UNIVERSE</w:t>
      </w:r>
    </w:p>
    <w:p w:rsidR="008016A7" w:rsidRPr="00362EED" w:rsidRDefault="00A318F8" w:rsidP="007C7C4F">
      <w:pPr>
        <w:spacing w:after="0" w:line="276" w:lineRule="auto"/>
        <w:ind w:left="10" w:right="-15" w:hanging="10"/>
        <w:jc w:val="right"/>
        <w:rPr>
          <w:rFonts w:ascii="Times New Roman" w:hAnsi="Times New Roman" w:cs="Times New Roman"/>
        </w:rPr>
      </w:pPr>
      <w:r w:rsidRPr="00362EED">
        <w:rPr>
          <w:rFonts w:ascii="Times New Roman" w:eastAsia="Arial" w:hAnsi="Times New Roman" w:cs="Times New Roman"/>
          <w:b/>
          <w:color w:val="2C3E50"/>
          <w:sz w:val="18"/>
        </w:rPr>
        <w:t>5 African Markets</w:t>
      </w:r>
    </w:p>
    <w:p w:rsidR="008016A7" w:rsidRPr="00362EED" w:rsidRDefault="00A318F8" w:rsidP="007C7C4F">
      <w:pPr>
        <w:spacing w:after="0" w:line="276" w:lineRule="auto"/>
        <w:ind w:left="10" w:right="-15" w:hanging="10"/>
        <w:jc w:val="right"/>
        <w:rPr>
          <w:rFonts w:ascii="Times New Roman" w:hAnsi="Times New Roman" w:cs="Times New Roman"/>
        </w:rPr>
      </w:pPr>
      <w:r w:rsidRPr="00362EED">
        <w:rPr>
          <w:rFonts w:ascii="Times New Roman" w:eastAsia="Arial" w:hAnsi="Times New Roman" w:cs="Times New Roman"/>
          <w:color w:val="8A9BAE"/>
          <w:sz w:val="16"/>
        </w:rPr>
        <w:t>HORIZON</w:t>
      </w:r>
    </w:p>
    <w:p w:rsidR="008016A7" w:rsidRPr="00362EED" w:rsidRDefault="00362EED" w:rsidP="007C7C4F">
      <w:pPr>
        <w:pStyle w:val="Heading1"/>
        <w:spacing w:after="0" w:line="276" w:lineRule="auto"/>
        <w:ind w:left="0" w:firstLine="0"/>
        <w:sectPr w:rsidR="008016A7" w:rsidRPr="00362EE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247" w:bottom="1440" w:left="1247" w:header="523" w:footer="651" w:gutter="0"/>
          <w:cols w:num="2" w:space="720" w:equalWidth="0">
            <w:col w:w="3801" w:space="3509"/>
            <w:col w:w="2101"/>
          </w:cols>
        </w:sectPr>
      </w:pPr>
      <w:r>
        <w:rPr>
          <w:rFonts w:eastAsia="Arial"/>
          <w:color w:val="2C3E50"/>
          <w:sz w:val="18"/>
        </w:rPr>
        <w:t xml:space="preserve">   </w:t>
      </w:r>
      <w:r w:rsidR="007C7C4F">
        <w:rPr>
          <w:rFonts w:eastAsia="Arial"/>
          <w:color w:val="2C3E50"/>
          <w:sz w:val="18"/>
        </w:rPr>
        <w:t>5-10 Year Patient Capital</w:t>
      </w:r>
    </w:p>
    <w:p w:rsidR="008016A7" w:rsidRPr="00362EED" w:rsidRDefault="00A318F8" w:rsidP="007C7C4F">
      <w:pPr>
        <w:spacing w:after="0"/>
        <w:ind w:right="-240"/>
        <w:rPr>
          <w:rFonts w:ascii="Times New Roman" w:hAnsi="Times New Roman" w:cs="Times New Roman"/>
        </w:rPr>
      </w:pPr>
      <w:r w:rsidRPr="00362EED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5976001" cy="19050"/>
                <wp:effectExtent l="0" t="0" r="0" b="0"/>
                <wp:docPr id="9406" name="Group 9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19050"/>
                          <a:chOff x="0" y="0"/>
                          <a:chExt cx="5976001" cy="190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97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B891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06" style="width:470.551pt;height:1.5pt;mso-position-horizontal-relative:char;mso-position-vertical-relative:line" coordsize="59760,190">
                <v:shape id="Shape 23" style="position:absolute;width:59760;height:0;left:0;top:0;" coordsize="5976001,0" path="m0,0l5976001,0">
                  <v:stroke weight="1.5pt" endcap="flat" joinstyle="miter" miterlimit="10" on="true" color="#b8912a"/>
                  <v:fill on="false" color="#000000" opacity="0"/>
                </v:shape>
              </v:group>
            </w:pict>
          </mc:Fallback>
        </mc:AlternateContent>
      </w:r>
    </w:p>
    <w:p w:rsidR="008016A7" w:rsidRPr="00362EED" w:rsidRDefault="00A318F8">
      <w:pPr>
        <w:spacing w:after="69" w:line="327" w:lineRule="auto"/>
        <w:ind w:left="226" w:right="200"/>
        <w:jc w:val="both"/>
        <w:rPr>
          <w:rFonts w:ascii="Times New Roman" w:hAnsi="Times New Roman" w:cs="Times New Roman"/>
        </w:rPr>
      </w:pPr>
      <w:r w:rsidRPr="00362EED">
        <w:rPr>
          <w:rFonts w:ascii="Times New Roman" w:eastAsia="Times New Roman" w:hAnsi="Times New Roman" w:cs="Times New Roman"/>
          <w:i/>
          <w:color w:val="2C3E50"/>
          <w:sz w:val="19"/>
        </w:rPr>
        <w:t>"Despite Kenya's reputation as East Africa's financial hub, a data-driven analysis of 5 African markets across 13 macroeco</w:t>
      </w:r>
      <w:r w:rsidR="007C7C4F">
        <w:rPr>
          <w:rFonts w:ascii="Times New Roman" w:eastAsia="Times New Roman" w:hAnsi="Times New Roman" w:cs="Times New Roman"/>
          <w:i/>
          <w:color w:val="2C3E50"/>
          <w:sz w:val="19"/>
        </w:rPr>
        <w:t>nomic indicators, IMF forecasts</w:t>
      </w:r>
      <w:r w:rsidRPr="00362EED">
        <w:rPr>
          <w:rFonts w:ascii="Times New Roman" w:eastAsia="Times New Roman" w:hAnsi="Times New Roman" w:cs="Times New Roman"/>
          <w:i/>
          <w:color w:val="2C3E50"/>
          <w:sz w:val="19"/>
        </w:rPr>
        <w:t xml:space="preserve"> and Google Trends consumer signals reveals Ghana as the superior risk-adjusted opportunity for growth</w:t>
      </w:r>
      <w:r w:rsidR="00362EED" w:rsidRPr="00362EED">
        <w:rPr>
          <w:rFonts w:ascii="Times New Roman" w:eastAsia="Times New Roman" w:hAnsi="Times New Roman" w:cs="Times New Roman"/>
          <w:i/>
          <w:color w:val="2C3E50"/>
          <w:sz w:val="19"/>
        </w:rPr>
        <w:t>-oriented patient capital -</w:t>
      </w:r>
      <w:r w:rsidRPr="00362EED">
        <w:rPr>
          <w:rFonts w:ascii="Times New Roman" w:eastAsia="Times New Roman" w:hAnsi="Times New Roman" w:cs="Times New Roman"/>
          <w:i/>
          <w:color w:val="2C3E50"/>
          <w:sz w:val="19"/>
        </w:rPr>
        <w:t xml:space="preserve"> leading Kenya by 3.0 points and demonstrating robust advantage across 4 of 5 weighting scenarios."</w:t>
      </w:r>
    </w:p>
    <w:p w:rsidR="008016A7" w:rsidRPr="00362EED" w:rsidRDefault="00A318F8">
      <w:pPr>
        <w:spacing w:after="325"/>
        <w:ind w:left="26" w:right="-240"/>
        <w:rPr>
          <w:rFonts w:ascii="Times New Roman" w:hAnsi="Times New Roman" w:cs="Times New Roman"/>
        </w:rPr>
      </w:pPr>
      <w:r w:rsidRPr="00362EED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5976001" cy="5080"/>
                <wp:effectExtent l="0" t="0" r="0" b="0"/>
                <wp:docPr id="9407" name="Group 9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5080"/>
                          <a:chOff x="0" y="0"/>
                          <a:chExt cx="5976001" cy="508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597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D4C5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07" style="width:470.551pt;height:0.4pt;mso-position-horizontal-relative:char;mso-position-vertical-relative:line" coordsize="59760,50">
                <v:shape id="Shape 28" style="position:absolute;width:59760;height:0;left:0;top:0;" coordsize="5976001,0" path="m0,0l5976001,0">
                  <v:stroke weight="0.4pt" endcap="flat" joinstyle="miter" miterlimit="10" on="true" color="#d4c5a9"/>
                  <v:fill on="false" color="#000000" opacity="0"/>
                </v:shape>
              </v:group>
            </w:pict>
          </mc:Fallback>
        </mc:AlternateContent>
      </w:r>
    </w:p>
    <w:p w:rsidR="008016A7" w:rsidRPr="00362EED" w:rsidRDefault="00A318F8">
      <w:pPr>
        <w:pStyle w:val="Heading2"/>
        <w:spacing w:after="307"/>
        <w:ind w:left="21"/>
        <w:rPr>
          <w:rFonts w:ascii="Times New Roman" w:hAnsi="Times New Roman" w:cs="Times New Roman"/>
        </w:rPr>
      </w:pPr>
      <w:r w:rsidRPr="00362EED">
        <w:rPr>
          <w:rFonts w:ascii="Times New Roman" w:hAnsi="Times New Roman" w:cs="Times New Roman"/>
        </w:rPr>
        <w:t>01 | METHODOLOGY &amp; DATA SOURCES</w:t>
      </w:r>
    </w:p>
    <w:p w:rsidR="008016A7" w:rsidRPr="00362EED" w:rsidRDefault="00A318F8">
      <w:pPr>
        <w:spacing w:line="327" w:lineRule="auto"/>
        <w:ind w:left="25" w:right="633"/>
        <w:jc w:val="both"/>
        <w:rPr>
          <w:rFonts w:ascii="Times New Roman" w:hAnsi="Times New Roman" w:cs="Times New Roman"/>
        </w:rPr>
      </w:pPr>
      <w:r w:rsidRPr="00362EED">
        <w:rPr>
          <w:rFonts w:ascii="Times New Roman" w:eastAsia="Times New Roman" w:hAnsi="Times New Roman" w:cs="Times New Roman"/>
          <w:b/>
          <w:color w:val="0E0E10"/>
          <w:sz w:val="19"/>
        </w:rPr>
        <w:t>Data Pipeline.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A multi-source pipeline aggregated 13 World Bank real-economy indicators across a 5-year historical window, supplemented by IMF World Economic Outlook April 2024 forward estimates and Google Trends consumer sentiment signals across 5 African markets.</w:t>
      </w:r>
    </w:p>
    <w:tbl>
      <w:tblPr>
        <w:tblStyle w:val="TableGrid"/>
        <w:tblpPr w:vertAnchor="text" w:horzAnchor="page" w:tblpX="1881" w:tblpY="1130"/>
        <w:tblOverlap w:val="never"/>
        <w:tblW w:w="8256" w:type="dxa"/>
        <w:tblInd w:w="0" w:type="dxa"/>
        <w:tblCellMar>
          <w:top w:w="0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4235"/>
        <w:gridCol w:w="1905"/>
        <w:gridCol w:w="2116"/>
      </w:tblGrid>
      <w:tr w:rsidR="00362EED" w:rsidRPr="00362EED" w:rsidTr="00362EED">
        <w:trPr>
          <w:trHeight w:val="441"/>
        </w:trPr>
        <w:tc>
          <w:tcPr>
            <w:tcW w:w="42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DIMENSION</w:t>
            </w:r>
          </w:p>
        </w:tc>
        <w:tc>
          <w:tcPr>
            <w:tcW w:w="190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362EED" w:rsidRPr="00362EED" w:rsidRDefault="007C7C4F" w:rsidP="00362EED">
            <w:pPr>
              <w:spacing w:after="101"/>
              <w:ind w:left="52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 xml:space="preserve">          </w:t>
            </w:r>
            <w:r w:rsidR="00362EED"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WEIGHT</w:t>
            </w:r>
          </w:p>
        </w:tc>
        <w:tc>
          <w:tcPr>
            <w:tcW w:w="211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MAX</w:t>
            </w:r>
          </w:p>
        </w:tc>
      </w:tr>
      <w:tr w:rsidR="00362EED" w:rsidRPr="00362EED" w:rsidTr="00362EED">
        <w:trPr>
          <w:trHeight w:val="242"/>
        </w:trPr>
        <w:tc>
          <w:tcPr>
            <w:tcW w:w="42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Macro Stability</w:t>
            </w:r>
          </w:p>
        </w:tc>
        <w:tc>
          <w:tcPr>
            <w:tcW w:w="190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30%</w:t>
            </w:r>
          </w:p>
        </w:tc>
        <w:tc>
          <w:tcPr>
            <w:tcW w:w="211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30</w:t>
            </w:r>
          </w:p>
        </w:tc>
      </w:tr>
      <w:tr w:rsidR="00362EED" w:rsidRPr="00362EED" w:rsidTr="00362EED">
        <w:trPr>
          <w:trHeight w:val="242"/>
        </w:trPr>
        <w:tc>
          <w:tcPr>
            <w:tcW w:w="42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Growth Trajectory</w:t>
            </w:r>
          </w:p>
        </w:tc>
        <w:tc>
          <w:tcPr>
            <w:tcW w:w="190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25%</w:t>
            </w:r>
          </w:p>
        </w:tc>
        <w:tc>
          <w:tcPr>
            <w:tcW w:w="211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25</w:t>
            </w:r>
          </w:p>
        </w:tc>
      </w:tr>
      <w:tr w:rsidR="00362EED" w:rsidRPr="00362EED" w:rsidTr="00362EED">
        <w:trPr>
          <w:trHeight w:val="242"/>
        </w:trPr>
        <w:tc>
          <w:tcPr>
            <w:tcW w:w="42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Digital Economy</w:t>
            </w:r>
          </w:p>
        </w:tc>
        <w:tc>
          <w:tcPr>
            <w:tcW w:w="190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20%</w:t>
            </w:r>
          </w:p>
        </w:tc>
        <w:tc>
          <w:tcPr>
            <w:tcW w:w="211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20</w:t>
            </w:r>
          </w:p>
        </w:tc>
      </w:tr>
      <w:tr w:rsidR="00362EED" w:rsidRPr="00362EED" w:rsidTr="00362EED">
        <w:trPr>
          <w:trHeight w:val="242"/>
        </w:trPr>
        <w:tc>
          <w:tcPr>
            <w:tcW w:w="42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Market Maturity</w:t>
            </w:r>
          </w:p>
        </w:tc>
        <w:tc>
          <w:tcPr>
            <w:tcW w:w="190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15%</w:t>
            </w:r>
          </w:p>
        </w:tc>
        <w:tc>
          <w:tcPr>
            <w:tcW w:w="211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15</w:t>
            </w:r>
          </w:p>
        </w:tc>
      </w:tr>
      <w:tr w:rsidR="00362EED" w:rsidRPr="00362EED" w:rsidTr="00362EED">
        <w:trPr>
          <w:trHeight w:val="242"/>
        </w:trPr>
        <w:tc>
          <w:tcPr>
            <w:tcW w:w="42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362EED" w:rsidRPr="00362EED" w:rsidRDefault="00362EED" w:rsidP="00362EED">
            <w:pPr>
              <w:spacing w:after="0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 xml:space="preserve">                           </w:t>
            </w: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Consumer Momentum</w:t>
            </w:r>
          </w:p>
        </w:tc>
        <w:tc>
          <w:tcPr>
            <w:tcW w:w="190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10%</w:t>
            </w:r>
          </w:p>
        </w:tc>
        <w:tc>
          <w:tcPr>
            <w:tcW w:w="211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362EED" w:rsidRPr="00362EED" w:rsidRDefault="00362EED" w:rsidP="00362EE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10</w:t>
            </w:r>
          </w:p>
        </w:tc>
      </w:tr>
    </w:tbl>
    <w:p w:rsidR="008016A7" w:rsidRPr="00362EED" w:rsidRDefault="00A318F8">
      <w:pPr>
        <w:spacing w:after="9" w:line="327" w:lineRule="auto"/>
        <w:ind w:left="25" w:right="633"/>
        <w:jc w:val="both"/>
        <w:rPr>
          <w:rFonts w:ascii="Times New Roman" w:hAnsi="Times New Roman" w:cs="Times New Roman"/>
        </w:rPr>
      </w:pPr>
      <w:r w:rsidRPr="00362EED">
        <w:rPr>
          <w:rFonts w:ascii="Times New Roman" w:eastAsia="Times New Roman" w:hAnsi="Times New Roman" w:cs="Times New Roman"/>
          <w:b/>
          <w:color w:val="0E0E10"/>
          <w:sz w:val="19"/>
        </w:rPr>
        <w:t>Scor</w:t>
      </w:r>
      <w:r w:rsidRPr="00362EED">
        <w:rPr>
          <w:rFonts w:ascii="Times New Roman" w:eastAsia="Times New Roman" w:hAnsi="Times New Roman" w:cs="Times New Roman"/>
          <w:b/>
          <w:color w:val="0E0E10"/>
          <w:sz w:val="19"/>
        </w:rPr>
        <w:t xml:space="preserve">ing </w:t>
      </w:r>
      <w:r w:rsidR="00074D79" w:rsidRPr="00362EED">
        <w:rPr>
          <w:rFonts w:ascii="Times New Roman" w:eastAsia="Times New Roman" w:hAnsi="Times New Roman" w:cs="Times New Roman"/>
          <w:b/>
          <w:color w:val="0E0E10"/>
          <w:sz w:val="19"/>
        </w:rPr>
        <w:t>Framework.</w:t>
      </w:r>
      <w:r w:rsidR="00074D79"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A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100-point weighted country attractiveness index was designed for patient capital on 5-10 year horizons: Macro Stability (30%), Growth Trajectory (25%), Digital Economy (20%), Market Maturity (15%), </w:t>
      </w:r>
      <w:r w:rsidR="00074D79" w:rsidRPr="00362EED">
        <w:rPr>
          <w:rFonts w:ascii="Times New Roman" w:eastAsia="Times New Roman" w:hAnsi="Times New Roman" w:cs="Times New Roman"/>
          <w:color w:val="0E0E10"/>
          <w:sz w:val="19"/>
        </w:rPr>
        <w:t>and Consumer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Momentum (10%). Validated across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5 sensitivity scenarios with alternative weightings.</w:t>
      </w:r>
    </w:p>
    <w:p w:rsidR="008016A7" w:rsidRPr="00362EED" w:rsidRDefault="00A318F8">
      <w:pPr>
        <w:spacing w:after="325"/>
        <w:ind w:left="26" w:right="-240"/>
        <w:rPr>
          <w:rFonts w:ascii="Times New Roman" w:hAnsi="Times New Roman" w:cs="Times New Roman"/>
        </w:rPr>
      </w:pPr>
      <w:r w:rsidRPr="00362EED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5976001" cy="5080"/>
                <wp:effectExtent l="0" t="0" r="0" b="0"/>
                <wp:docPr id="9408" name="Group 9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5080"/>
                          <a:chOff x="0" y="0"/>
                          <a:chExt cx="5976001" cy="508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597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D4C5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08" style="width:470.551pt;height:0.4pt;mso-position-horizontal-relative:char;mso-position-vertical-relative:line" coordsize="59760,50">
                <v:shape id="Shape 79" style="position:absolute;width:59760;height:0;left:0;top:0;" coordsize="5976001,0" path="m0,0l5976001,0">
                  <v:stroke weight="0.4pt" endcap="flat" joinstyle="miter" miterlimit="10" on="true" color="#d4c5a9"/>
                  <v:fill on="false" color="#000000" opacity="0"/>
                </v:shape>
              </v:group>
            </w:pict>
          </mc:Fallback>
        </mc:AlternateContent>
      </w:r>
    </w:p>
    <w:p w:rsidR="008016A7" w:rsidRPr="00362EED" w:rsidRDefault="00A318F8">
      <w:pPr>
        <w:pStyle w:val="Heading2"/>
        <w:spacing w:after="24"/>
        <w:ind w:left="21"/>
        <w:rPr>
          <w:rFonts w:ascii="Times New Roman" w:hAnsi="Times New Roman" w:cs="Times New Roman"/>
        </w:rPr>
      </w:pPr>
      <w:r w:rsidRPr="00362EED">
        <w:rPr>
          <w:rFonts w:ascii="Times New Roman" w:hAnsi="Times New Roman" w:cs="Times New Roman"/>
        </w:rPr>
        <w:t>02 | COUNTRY ATTRACTIVENESS SCORES</w:t>
      </w:r>
    </w:p>
    <w:tbl>
      <w:tblPr>
        <w:tblStyle w:val="TableGrid"/>
        <w:tblW w:w="9541" w:type="dxa"/>
        <w:tblInd w:w="376" w:type="dxa"/>
        <w:tblCellMar>
          <w:top w:w="0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5"/>
        <w:gridCol w:w="1096"/>
        <w:gridCol w:w="896"/>
        <w:gridCol w:w="1081"/>
        <w:gridCol w:w="961"/>
        <w:gridCol w:w="1175"/>
        <w:gridCol w:w="1289"/>
        <w:gridCol w:w="869"/>
        <w:gridCol w:w="1389"/>
      </w:tblGrid>
      <w:tr w:rsidR="007C7C4F" w:rsidRPr="00362EED" w:rsidTr="007C7C4F">
        <w:trPr>
          <w:trHeight w:val="633"/>
        </w:trPr>
        <w:tc>
          <w:tcPr>
            <w:tcW w:w="80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 w:rsidP="007C7C4F">
            <w:pPr>
              <w:spacing w:after="101"/>
              <w:ind w:left="45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RA</w:t>
            </w: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NK</w:t>
            </w:r>
          </w:p>
        </w:tc>
        <w:tc>
          <w:tcPr>
            <w:tcW w:w="1130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COUNTRY</w:t>
            </w:r>
          </w:p>
        </w:tc>
        <w:tc>
          <w:tcPr>
            <w:tcW w:w="923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MACRO</w:t>
            </w:r>
          </w:p>
        </w:tc>
        <w:tc>
          <w:tcPr>
            <w:tcW w:w="1114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 w:rsidP="007C7C4F">
            <w:pPr>
              <w:spacing w:after="101"/>
              <w:ind w:left="44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GROW</w:t>
            </w: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TH</w:t>
            </w:r>
          </w:p>
        </w:tc>
        <w:tc>
          <w:tcPr>
            <w:tcW w:w="90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7C7C4F" w:rsidP="007C7C4F">
            <w:pPr>
              <w:spacing w:after="101"/>
              <w:ind w:left="31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DIGITA</w:t>
            </w:r>
            <w:r w:rsidR="00A318F8"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L</w:t>
            </w:r>
          </w:p>
        </w:tc>
        <w:tc>
          <w:tcPr>
            <w:tcW w:w="1183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7C7C4F" w:rsidP="007C7C4F">
            <w:pPr>
              <w:spacing w:after="101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MATURI</w:t>
            </w:r>
            <w:r w:rsidR="00A318F8"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TY</w:t>
            </w:r>
          </w:p>
        </w:tc>
        <w:tc>
          <w:tcPr>
            <w:tcW w:w="114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7C7C4F" w:rsidP="007C7C4F">
            <w:pPr>
              <w:spacing w:after="101"/>
              <w:ind w:left="30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MOMENTU</w:t>
            </w:r>
            <w:r w:rsidR="00A318F8"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M</w:t>
            </w:r>
          </w:p>
        </w:tc>
        <w:tc>
          <w:tcPr>
            <w:tcW w:w="89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ind w:left="36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TOTAL</w:t>
            </w:r>
          </w:p>
        </w:tc>
        <w:tc>
          <w:tcPr>
            <w:tcW w:w="143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VERDICT</w:t>
            </w:r>
          </w:p>
        </w:tc>
      </w:tr>
      <w:tr w:rsidR="007C7C4F" w:rsidRPr="00362EED" w:rsidTr="007C7C4F">
        <w:trPr>
          <w:trHeight w:val="633"/>
        </w:trPr>
        <w:tc>
          <w:tcPr>
            <w:tcW w:w="80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left="66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#1</w:t>
            </w:r>
          </w:p>
        </w:tc>
        <w:tc>
          <w:tcPr>
            <w:tcW w:w="1130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left="32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0E0E10"/>
                <w:sz w:val="17"/>
              </w:rPr>
              <w:t>South Africa</w:t>
            </w:r>
          </w:p>
        </w:tc>
        <w:tc>
          <w:tcPr>
            <w:tcW w:w="923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15/30</w:t>
            </w:r>
          </w:p>
        </w:tc>
        <w:tc>
          <w:tcPr>
            <w:tcW w:w="1114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4/25</w:t>
            </w:r>
          </w:p>
        </w:tc>
        <w:tc>
          <w:tcPr>
            <w:tcW w:w="90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18/20</w:t>
            </w:r>
          </w:p>
        </w:tc>
        <w:tc>
          <w:tcPr>
            <w:tcW w:w="1183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10/15</w:t>
            </w:r>
          </w:p>
        </w:tc>
        <w:tc>
          <w:tcPr>
            <w:tcW w:w="114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3.0/10</w:t>
            </w:r>
          </w:p>
        </w:tc>
        <w:tc>
          <w:tcPr>
            <w:tcW w:w="89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2E7D52"/>
                <w:sz w:val="17"/>
              </w:rPr>
              <w:t>68.3</w:t>
            </w:r>
          </w:p>
        </w:tc>
        <w:tc>
          <w:tcPr>
            <w:tcW w:w="143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 w:rsidP="007C7C4F">
            <w:pPr>
              <w:spacing w:after="89"/>
              <w:ind w:left="28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2E7D52"/>
                <w:sz w:val="17"/>
              </w:rPr>
              <w:t>ATTRACTI</w:t>
            </w:r>
            <w:r w:rsidRPr="00362EED">
              <w:rPr>
                <w:rFonts w:ascii="Times New Roman" w:eastAsia="Arial" w:hAnsi="Times New Roman" w:cs="Times New Roman"/>
                <w:color w:val="2E7D52"/>
                <w:sz w:val="17"/>
              </w:rPr>
              <w:t>VE</w:t>
            </w:r>
          </w:p>
        </w:tc>
      </w:tr>
      <w:tr w:rsidR="007C7C4F" w:rsidRPr="00362EED" w:rsidTr="007C7C4F">
        <w:trPr>
          <w:trHeight w:val="633"/>
        </w:trPr>
        <w:tc>
          <w:tcPr>
            <w:tcW w:w="80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0F7F2"/>
            <w:vAlign w:val="center"/>
          </w:tcPr>
          <w:p w:rsidR="008016A7" w:rsidRPr="00362EED" w:rsidRDefault="00A318F8">
            <w:pPr>
              <w:spacing w:after="0"/>
              <w:ind w:left="66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#2</w:t>
            </w:r>
          </w:p>
        </w:tc>
        <w:tc>
          <w:tcPr>
            <w:tcW w:w="1130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0F7F2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0E0E10"/>
                <w:sz w:val="17"/>
              </w:rPr>
              <w:t>Ghana</w:t>
            </w:r>
          </w:p>
        </w:tc>
        <w:tc>
          <w:tcPr>
            <w:tcW w:w="923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0F7F2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10/30</w:t>
            </w:r>
          </w:p>
        </w:tc>
        <w:tc>
          <w:tcPr>
            <w:tcW w:w="1114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0F7F2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16/25</w:t>
            </w:r>
          </w:p>
        </w:tc>
        <w:tc>
          <w:tcPr>
            <w:tcW w:w="90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0F7F2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20/20</w:t>
            </w:r>
          </w:p>
        </w:tc>
        <w:tc>
          <w:tcPr>
            <w:tcW w:w="1183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0F7F2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8/15</w:t>
            </w:r>
          </w:p>
        </w:tc>
        <w:tc>
          <w:tcPr>
            <w:tcW w:w="114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0F7F2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9.2/10</w:t>
            </w:r>
          </w:p>
        </w:tc>
        <w:tc>
          <w:tcPr>
            <w:tcW w:w="89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0F7F2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2E7D52"/>
                <w:sz w:val="17"/>
              </w:rPr>
              <w:t>60.7</w:t>
            </w:r>
          </w:p>
        </w:tc>
        <w:tc>
          <w:tcPr>
            <w:tcW w:w="143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0F7F2"/>
            <w:vAlign w:val="center"/>
          </w:tcPr>
          <w:p w:rsidR="008016A7" w:rsidRPr="00362EED" w:rsidRDefault="00A318F8" w:rsidP="007C7C4F">
            <w:pPr>
              <w:spacing w:after="89"/>
              <w:ind w:left="28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2E7D52"/>
                <w:sz w:val="17"/>
              </w:rPr>
              <w:t>ATTRACTI</w:t>
            </w:r>
            <w:r w:rsidRPr="00362EED">
              <w:rPr>
                <w:rFonts w:ascii="Times New Roman" w:eastAsia="Arial" w:hAnsi="Times New Roman" w:cs="Times New Roman"/>
                <w:color w:val="2E7D52"/>
                <w:sz w:val="17"/>
              </w:rPr>
              <w:t>VE</w:t>
            </w:r>
          </w:p>
        </w:tc>
      </w:tr>
      <w:tr w:rsidR="007C7C4F" w:rsidRPr="00362EED" w:rsidTr="007C7C4F">
        <w:trPr>
          <w:trHeight w:val="395"/>
        </w:trPr>
        <w:tc>
          <w:tcPr>
            <w:tcW w:w="809" w:type="dxa"/>
            <w:tcBorders>
              <w:top w:val="single" w:sz="2" w:space="0" w:color="D4C5A9"/>
              <w:left w:val="single" w:sz="2" w:space="0" w:color="D4C5A9"/>
              <w:bottom w:val="single" w:sz="12" w:space="0" w:color="B8912A"/>
              <w:right w:val="single" w:sz="2" w:space="0" w:color="D4C5A9"/>
            </w:tcBorders>
            <w:shd w:val="clear" w:color="auto" w:fill="F7F9EE"/>
            <w:vAlign w:val="center"/>
          </w:tcPr>
          <w:p w:rsidR="008016A7" w:rsidRPr="00362EED" w:rsidRDefault="00A318F8">
            <w:pPr>
              <w:spacing w:after="0"/>
              <w:ind w:left="66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#3</w:t>
            </w:r>
          </w:p>
        </w:tc>
        <w:tc>
          <w:tcPr>
            <w:tcW w:w="1130" w:type="dxa"/>
            <w:tcBorders>
              <w:top w:val="single" w:sz="2" w:space="0" w:color="D4C5A9"/>
              <w:left w:val="single" w:sz="2" w:space="0" w:color="D4C5A9"/>
              <w:bottom w:val="single" w:sz="12" w:space="0" w:color="B8912A"/>
              <w:right w:val="single" w:sz="2" w:space="0" w:color="D4C5A9"/>
            </w:tcBorders>
            <w:shd w:val="clear" w:color="auto" w:fill="F7F9EE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0E0E10"/>
                <w:sz w:val="17"/>
              </w:rPr>
              <w:t>Kenya</w:t>
            </w:r>
          </w:p>
        </w:tc>
        <w:tc>
          <w:tcPr>
            <w:tcW w:w="923" w:type="dxa"/>
            <w:tcBorders>
              <w:top w:val="single" w:sz="2" w:space="0" w:color="D4C5A9"/>
              <w:left w:val="single" w:sz="2" w:space="0" w:color="D4C5A9"/>
              <w:bottom w:val="single" w:sz="12" w:space="0" w:color="B8912A"/>
              <w:right w:val="single" w:sz="2" w:space="0" w:color="D4C5A9"/>
            </w:tcBorders>
            <w:shd w:val="clear" w:color="auto" w:fill="F7F9EE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23/30</w:t>
            </w:r>
          </w:p>
        </w:tc>
        <w:tc>
          <w:tcPr>
            <w:tcW w:w="1114" w:type="dxa"/>
            <w:tcBorders>
              <w:top w:val="single" w:sz="2" w:space="0" w:color="D4C5A9"/>
              <w:left w:val="single" w:sz="2" w:space="0" w:color="D4C5A9"/>
              <w:bottom w:val="single" w:sz="12" w:space="0" w:color="B8912A"/>
              <w:right w:val="single" w:sz="2" w:space="0" w:color="D4C5A9"/>
            </w:tcBorders>
            <w:shd w:val="clear" w:color="auto" w:fill="F7F9EE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7/25</w:t>
            </w:r>
          </w:p>
        </w:tc>
        <w:tc>
          <w:tcPr>
            <w:tcW w:w="909" w:type="dxa"/>
            <w:tcBorders>
              <w:top w:val="single" w:sz="2" w:space="0" w:color="D4C5A9"/>
              <w:left w:val="single" w:sz="2" w:space="0" w:color="D4C5A9"/>
              <w:bottom w:val="single" w:sz="12" w:space="0" w:color="B8912A"/>
              <w:right w:val="single" w:sz="2" w:space="0" w:color="D4C5A9"/>
            </w:tcBorders>
            <w:shd w:val="clear" w:color="auto" w:fill="F7F9EE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16/20</w:t>
            </w:r>
          </w:p>
        </w:tc>
        <w:tc>
          <w:tcPr>
            <w:tcW w:w="1183" w:type="dxa"/>
            <w:tcBorders>
              <w:top w:val="single" w:sz="2" w:space="0" w:color="D4C5A9"/>
              <w:left w:val="single" w:sz="2" w:space="0" w:color="D4C5A9"/>
              <w:bottom w:val="single" w:sz="12" w:space="0" w:color="B8912A"/>
              <w:right w:val="single" w:sz="2" w:space="0" w:color="D4C5A9"/>
            </w:tcBorders>
            <w:shd w:val="clear" w:color="auto" w:fill="F7F9EE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6/15</w:t>
            </w:r>
          </w:p>
        </w:tc>
        <w:tc>
          <w:tcPr>
            <w:tcW w:w="1146" w:type="dxa"/>
            <w:tcBorders>
              <w:top w:val="single" w:sz="2" w:space="0" w:color="D4C5A9"/>
              <w:left w:val="single" w:sz="2" w:space="0" w:color="D4C5A9"/>
              <w:bottom w:val="single" w:sz="12" w:space="0" w:color="B8912A"/>
              <w:right w:val="single" w:sz="2" w:space="0" w:color="D4C5A9"/>
            </w:tcBorders>
            <w:shd w:val="clear" w:color="auto" w:fill="F7F9EE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10/10</w:t>
            </w:r>
          </w:p>
        </w:tc>
        <w:tc>
          <w:tcPr>
            <w:tcW w:w="896" w:type="dxa"/>
            <w:tcBorders>
              <w:top w:val="single" w:sz="2" w:space="0" w:color="D4C5A9"/>
              <w:left w:val="single" w:sz="2" w:space="0" w:color="D4C5A9"/>
              <w:bottom w:val="single" w:sz="12" w:space="0" w:color="B8912A"/>
              <w:right w:val="single" w:sz="2" w:space="0" w:color="D4C5A9"/>
            </w:tcBorders>
            <w:shd w:val="clear" w:color="auto" w:fill="F7F9EE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B8912A"/>
                <w:sz w:val="17"/>
              </w:rPr>
              <w:t>57.7</w:t>
            </w:r>
          </w:p>
        </w:tc>
        <w:tc>
          <w:tcPr>
            <w:tcW w:w="1431" w:type="dxa"/>
            <w:tcBorders>
              <w:top w:val="single" w:sz="2" w:space="0" w:color="D4C5A9"/>
              <w:left w:val="single" w:sz="2" w:space="0" w:color="D4C5A9"/>
              <w:bottom w:val="single" w:sz="12" w:space="0" w:color="B8912A"/>
              <w:right w:val="single" w:sz="2" w:space="0" w:color="D4C5A9"/>
            </w:tcBorders>
            <w:shd w:val="clear" w:color="auto" w:fill="F7F9EE"/>
            <w:vAlign w:val="center"/>
          </w:tcPr>
          <w:p w:rsidR="008016A7" w:rsidRPr="00362EED" w:rsidRDefault="00A318F8">
            <w:pPr>
              <w:spacing w:after="0"/>
              <w:ind w:left="42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B8912A"/>
                <w:sz w:val="17"/>
              </w:rPr>
              <w:t>MONITOR</w:t>
            </w:r>
          </w:p>
        </w:tc>
      </w:tr>
      <w:tr w:rsidR="007C7C4F" w:rsidRPr="00362EED" w:rsidTr="007C7C4F">
        <w:trPr>
          <w:trHeight w:val="395"/>
        </w:trPr>
        <w:tc>
          <w:tcPr>
            <w:tcW w:w="809" w:type="dxa"/>
            <w:tcBorders>
              <w:top w:val="single" w:sz="12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left="66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#4</w:t>
            </w:r>
          </w:p>
        </w:tc>
        <w:tc>
          <w:tcPr>
            <w:tcW w:w="1130" w:type="dxa"/>
            <w:tcBorders>
              <w:top w:val="single" w:sz="12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Egypt</w:t>
            </w:r>
          </w:p>
        </w:tc>
        <w:tc>
          <w:tcPr>
            <w:tcW w:w="923" w:type="dxa"/>
            <w:tcBorders>
              <w:top w:val="single" w:sz="12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7/30</w:t>
            </w:r>
          </w:p>
        </w:tc>
        <w:tc>
          <w:tcPr>
            <w:tcW w:w="1114" w:type="dxa"/>
            <w:tcBorders>
              <w:top w:val="single" w:sz="12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14/25</w:t>
            </w:r>
          </w:p>
        </w:tc>
        <w:tc>
          <w:tcPr>
            <w:tcW w:w="909" w:type="dxa"/>
            <w:tcBorders>
              <w:top w:val="single" w:sz="12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14/20</w:t>
            </w:r>
          </w:p>
        </w:tc>
        <w:tc>
          <w:tcPr>
            <w:tcW w:w="1183" w:type="dxa"/>
            <w:tcBorders>
              <w:top w:val="single" w:sz="12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8/15</w:t>
            </w:r>
          </w:p>
        </w:tc>
        <w:tc>
          <w:tcPr>
            <w:tcW w:w="1146" w:type="dxa"/>
            <w:tcBorders>
              <w:top w:val="single" w:sz="12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7.5/10</w:t>
            </w:r>
          </w:p>
        </w:tc>
        <w:tc>
          <w:tcPr>
            <w:tcW w:w="896" w:type="dxa"/>
            <w:tcBorders>
              <w:top w:val="single" w:sz="12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6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B8912A"/>
                <w:sz w:val="17"/>
              </w:rPr>
              <w:t>48.0</w:t>
            </w:r>
          </w:p>
        </w:tc>
        <w:tc>
          <w:tcPr>
            <w:tcW w:w="1431" w:type="dxa"/>
            <w:tcBorders>
              <w:top w:val="single" w:sz="12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left="42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B8912A"/>
                <w:sz w:val="17"/>
              </w:rPr>
              <w:t>MONITOR</w:t>
            </w:r>
          </w:p>
        </w:tc>
      </w:tr>
      <w:tr w:rsidR="007C7C4F" w:rsidRPr="00362EED" w:rsidTr="007C7C4F">
        <w:trPr>
          <w:trHeight w:val="633"/>
        </w:trPr>
        <w:tc>
          <w:tcPr>
            <w:tcW w:w="80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left="34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#5</w:t>
            </w:r>
          </w:p>
        </w:tc>
        <w:tc>
          <w:tcPr>
            <w:tcW w:w="1130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Nigeria</w:t>
            </w:r>
          </w:p>
        </w:tc>
        <w:tc>
          <w:tcPr>
            <w:tcW w:w="923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2/30</w:t>
            </w:r>
          </w:p>
        </w:tc>
        <w:tc>
          <w:tcPr>
            <w:tcW w:w="1114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6/25</w:t>
            </w:r>
          </w:p>
        </w:tc>
        <w:tc>
          <w:tcPr>
            <w:tcW w:w="90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12/20</w:t>
            </w:r>
          </w:p>
        </w:tc>
        <w:tc>
          <w:tcPr>
            <w:tcW w:w="1183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3/15</w:t>
            </w:r>
          </w:p>
        </w:tc>
        <w:tc>
          <w:tcPr>
            <w:tcW w:w="114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sz w:val="17"/>
              </w:rPr>
              <w:t>5.2/10</w:t>
            </w:r>
          </w:p>
        </w:tc>
        <w:tc>
          <w:tcPr>
            <w:tcW w:w="89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C0392B"/>
                <w:sz w:val="17"/>
              </w:rPr>
              <w:t>45.2</w:t>
            </w:r>
          </w:p>
        </w:tc>
        <w:tc>
          <w:tcPr>
            <w:tcW w:w="143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3FF"/>
            <w:vAlign w:val="center"/>
          </w:tcPr>
          <w:p w:rsidR="008016A7" w:rsidRPr="00362EED" w:rsidRDefault="00A318F8" w:rsidP="007C7C4F">
            <w:pPr>
              <w:spacing w:after="89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C0392B"/>
                <w:sz w:val="17"/>
              </w:rPr>
              <w:t>SELECTIV</w:t>
            </w:r>
            <w:r w:rsidRPr="00362EED">
              <w:rPr>
                <w:rFonts w:ascii="Times New Roman" w:eastAsia="Arial" w:hAnsi="Times New Roman" w:cs="Times New Roman"/>
                <w:color w:val="C0392B"/>
                <w:sz w:val="17"/>
              </w:rPr>
              <w:t>E</w:t>
            </w:r>
          </w:p>
        </w:tc>
      </w:tr>
    </w:tbl>
    <w:p w:rsidR="008016A7" w:rsidRPr="00362EED" w:rsidRDefault="00A318F8">
      <w:pPr>
        <w:spacing w:after="325"/>
        <w:ind w:left="26" w:right="-240"/>
        <w:rPr>
          <w:rFonts w:ascii="Times New Roman" w:hAnsi="Times New Roman" w:cs="Times New Roman"/>
        </w:rPr>
      </w:pPr>
      <w:r w:rsidRPr="00362EED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5976001" cy="5080"/>
                <wp:effectExtent l="0" t="0" r="0" b="0"/>
                <wp:docPr id="8777" name="Group 8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5080"/>
                          <a:chOff x="0" y="0"/>
                          <a:chExt cx="5976001" cy="5080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597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D4C5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7" style="width:470.551pt;height:0.4pt;mso-position-horizontal-relative:char;mso-position-vertical-relative:line" coordsize="59760,50">
                <v:shape id="Shape 257" style="position:absolute;width:59760;height:0;left:0;top:0;" coordsize="5976001,0" path="m0,0l5976001,0">
                  <v:stroke weight="0.4pt" endcap="flat" joinstyle="miter" miterlimit="10" on="true" color="#d4c5a9"/>
                  <v:fill on="false" color="#000000" opacity="0"/>
                </v:shape>
              </v:group>
            </w:pict>
          </mc:Fallback>
        </mc:AlternateContent>
      </w:r>
    </w:p>
    <w:p w:rsidR="008016A7" w:rsidRPr="00362EED" w:rsidRDefault="007C7C4F">
      <w:pPr>
        <w:pStyle w:val="Heading2"/>
        <w:ind w:left="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03 | KENYA vs GHANA -</w:t>
      </w:r>
      <w:r w:rsidR="00A318F8" w:rsidRPr="00362EED">
        <w:rPr>
          <w:rFonts w:ascii="Times New Roman" w:hAnsi="Times New Roman" w:cs="Times New Roman"/>
        </w:rPr>
        <w:t xml:space="preserve"> THESIS ANALYSIS</w:t>
      </w:r>
    </w:p>
    <w:p w:rsidR="008016A7" w:rsidRPr="00362EED" w:rsidRDefault="00A318F8">
      <w:pPr>
        <w:spacing w:after="60" w:line="327" w:lineRule="auto"/>
        <w:ind w:left="25" w:right="-15"/>
        <w:jc w:val="both"/>
        <w:rPr>
          <w:rFonts w:ascii="Times New Roman" w:hAnsi="Times New Roman" w:cs="Times New Roman"/>
        </w:rPr>
      </w:pPr>
      <w:r w:rsidRPr="00362EED">
        <w:rPr>
          <w:rFonts w:ascii="Times New Roman" w:eastAsia="Times New Roman" w:hAnsi="Times New Roman" w:cs="Times New Roman"/>
          <w:b/>
          <w:color w:val="0E0E10"/>
          <w:sz w:val="19"/>
        </w:rPr>
        <w:t>Ghana leads Kenya by 3.0 points (60.7 vs 57.7)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on a composite basis. Ghana's advantage is anchored in superior </w:t>
      </w:r>
      <w:r w:rsidR="007C7C4F">
        <w:rPr>
          <w:rFonts w:ascii="Times New Roman" w:eastAsia="Times New Roman" w:hAnsi="Times New Roman" w:cs="Times New Roman"/>
          <w:color w:val="0E0E10"/>
          <w:sz w:val="19"/>
        </w:rPr>
        <w:t>growth trajectory (16 vs 7/25) -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underpinned by FDI inflows of 2</w:t>
      </w:r>
      <w:r w:rsidR="007C7C4F">
        <w:rPr>
          <w:rFonts w:ascii="Times New Roman" w:eastAsia="Times New Roman" w:hAnsi="Times New Roman" w:cs="Times New Roman"/>
          <w:color w:val="0E0E10"/>
          <w:sz w:val="19"/>
        </w:rPr>
        <w:t>.1% of GDP versus Kenya's 0.8% -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and a perfect digital economy score (20/20). </w:t>
      </w:r>
      <w:r w:rsidRPr="00362EED">
        <w:rPr>
          <w:rFonts w:ascii="Times New Roman" w:eastAsia="Times New Roman" w:hAnsi="Times New Roman" w:cs="Times New Roman"/>
          <w:b/>
          <w:color w:val="0E0E10"/>
          <w:sz w:val="19"/>
        </w:rPr>
        <w:t>Ken</w:t>
      </w:r>
      <w:r w:rsidRPr="00362EED">
        <w:rPr>
          <w:rFonts w:ascii="Times New Roman" w:eastAsia="Times New Roman" w:hAnsi="Times New Roman" w:cs="Times New Roman"/>
          <w:b/>
          <w:color w:val="0E0E10"/>
          <w:sz w:val="19"/>
        </w:rPr>
        <w:t>ya's counter-thesis rests on macro stability (23 vs 10/30)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>: inflation of 4.5% versus Ghana's 22.8% represents an 18.3 percentage point advantage that materially protects real returns over a multi-year hold and makes Kenya the preferred market for capital-p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>reservation mandates.</w:t>
      </w:r>
    </w:p>
    <w:p w:rsidR="008016A7" w:rsidRPr="00362EED" w:rsidRDefault="008016A7">
      <w:pPr>
        <w:rPr>
          <w:rFonts w:ascii="Times New Roman" w:hAnsi="Times New Roman" w:cs="Times New Roman"/>
        </w:rPr>
        <w:sectPr w:rsidR="008016A7" w:rsidRPr="00362EED">
          <w:type w:val="continuous"/>
          <w:pgSz w:w="11906" w:h="16838"/>
          <w:pgMar w:top="1254" w:right="1367" w:bottom="1734" w:left="1341" w:header="720" w:footer="720" w:gutter="0"/>
          <w:cols w:space="720"/>
        </w:sectPr>
      </w:pPr>
    </w:p>
    <w:tbl>
      <w:tblPr>
        <w:tblStyle w:val="TableGrid"/>
        <w:tblpPr w:vertAnchor="text" w:horzAnchor="margin" w:tblpY="259"/>
        <w:tblOverlap w:val="never"/>
        <w:tblW w:w="9035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36"/>
        <w:gridCol w:w="1882"/>
        <w:gridCol w:w="1882"/>
        <w:gridCol w:w="2635"/>
      </w:tblGrid>
      <w:tr w:rsidR="00602B74" w:rsidRPr="00362EED" w:rsidTr="00602B74">
        <w:trPr>
          <w:trHeight w:val="500"/>
        </w:trPr>
        <w:tc>
          <w:tcPr>
            <w:tcW w:w="263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METRIC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KENYA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GHANA</w:t>
            </w:r>
          </w:p>
        </w:tc>
        <w:tc>
          <w:tcPr>
            <w:tcW w:w="26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EDGE</w:t>
            </w:r>
          </w:p>
        </w:tc>
      </w:tr>
      <w:tr w:rsidR="00602B74" w:rsidRPr="00362EED" w:rsidTr="00602B74">
        <w:trPr>
          <w:trHeight w:val="500"/>
        </w:trPr>
        <w:tc>
          <w:tcPr>
            <w:tcW w:w="263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GDP Growth (%)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5.1%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4.7%</w:t>
            </w:r>
          </w:p>
        </w:tc>
        <w:tc>
          <w:tcPr>
            <w:tcW w:w="26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1A6B3C"/>
                <w:sz w:val="16"/>
              </w:rPr>
              <w:t>Kenya +0.4pp</w:t>
            </w:r>
          </w:p>
        </w:tc>
      </w:tr>
      <w:tr w:rsidR="00602B74" w:rsidRPr="00362EED" w:rsidTr="00602B74">
        <w:trPr>
          <w:trHeight w:val="500"/>
        </w:trPr>
        <w:tc>
          <w:tcPr>
            <w:tcW w:w="263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Inflation (%)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4.5%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22.8%</w:t>
            </w:r>
          </w:p>
        </w:tc>
        <w:tc>
          <w:tcPr>
            <w:tcW w:w="26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1A6B3C"/>
                <w:sz w:val="16"/>
              </w:rPr>
              <w:t>Kenya +18.3pp</w:t>
            </w:r>
          </w:p>
        </w:tc>
      </w:tr>
      <w:tr w:rsidR="00602B74" w:rsidRPr="00362EED" w:rsidTr="00602B74">
        <w:trPr>
          <w:trHeight w:val="500"/>
        </w:trPr>
        <w:tc>
          <w:tcPr>
            <w:tcW w:w="263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FDI % GDP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0.8%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2.1%</w:t>
            </w:r>
          </w:p>
        </w:tc>
        <w:tc>
          <w:tcPr>
            <w:tcW w:w="26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CF2027"/>
                <w:sz w:val="16"/>
              </w:rPr>
              <w:t>Ghana +1.3pp</w:t>
            </w:r>
          </w:p>
        </w:tc>
      </w:tr>
      <w:tr w:rsidR="00602B74" w:rsidRPr="00362EED" w:rsidTr="00602B74">
        <w:trPr>
          <w:trHeight w:val="500"/>
        </w:trPr>
        <w:tc>
          <w:tcPr>
            <w:tcW w:w="2636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Govt Debt % GDP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70.2%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84.9%</w:t>
            </w:r>
          </w:p>
        </w:tc>
        <w:tc>
          <w:tcPr>
            <w:tcW w:w="26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1A6B3C"/>
                <w:sz w:val="16"/>
              </w:rPr>
              <w:t>Kenya +14.7pp</w:t>
            </w:r>
          </w:p>
        </w:tc>
      </w:tr>
      <w:tr w:rsidR="00602B74" w:rsidRPr="00362EED" w:rsidTr="00602B74">
        <w:trPr>
          <w:trHeight w:val="500"/>
        </w:trPr>
        <w:tc>
          <w:tcPr>
            <w:tcW w:w="2636" w:type="dxa"/>
            <w:tcBorders>
              <w:top w:val="single" w:sz="2" w:space="0" w:color="D4C5A9"/>
              <w:left w:val="single" w:sz="2" w:space="0" w:color="D4C5A9"/>
              <w:bottom w:val="single" w:sz="8" w:space="0" w:color="B8912A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Mobile per 100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8" w:space="0" w:color="B8912A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114</w:t>
            </w:r>
          </w:p>
        </w:tc>
        <w:tc>
          <w:tcPr>
            <w:tcW w:w="1882" w:type="dxa"/>
            <w:tcBorders>
              <w:top w:val="single" w:sz="2" w:space="0" w:color="D4C5A9"/>
              <w:left w:val="single" w:sz="2" w:space="0" w:color="D4C5A9"/>
              <w:bottom w:val="single" w:sz="8" w:space="0" w:color="B8912A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128</w:t>
            </w:r>
          </w:p>
        </w:tc>
        <w:tc>
          <w:tcPr>
            <w:tcW w:w="2635" w:type="dxa"/>
            <w:tcBorders>
              <w:top w:val="single" w:sz="2" w:space="0" w:color="D4C5A9"/>
              <w:left w:val="single" w:sz="2" w:space="0" w:color="D4C5A9"/>
              <w:bottom w:val="single" w:sz="8" w:space="0" w:color="B8912A"/>
              <w:right w:val="single" w:sz="2" w:space="0" w:color="D4C5A9"/>
            </w:tcBorders>
            <w:shd w:val="clear" w:color="auto" w:fill="FAFAF8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CF2027"/>
                <w:sz w:val="16"/>
              </w:rPr>
              <w:t>Ghana +14</w:t>
            </w:r>
          </w:p>
        </w:tc>
      </w:tr>
      <w:tr w:rsidR="00602B74" w:rsidRPr="00362EED" w:rsidTr="00602B74">
        <w:trPr>
          <w:trHeight w:val="500"/>
        </w:trPr>
        <w:tc>
          <w:tcPr>
            <w:tcW w:w="2636" w:type="dxa"/>
            <w:tcBorders>
              <w:top w:val="single" w:sz="8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2FF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0E0E10"/>
                <w:sz w:val="17"/>
              </w:rPr>
              <w:t>Total Score</w:t>
            </w:r>
          </w:p>
        </w:tc>
        <w:tc>
          <w:tcPr>
            <w:tcW w:w="1882" w:type="dxa"/>
            <w:tcBorders>
              <w:top w:val="single" w:sz="8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2FF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0E0E10"/>
                <w:sz w:val="17"/>
              </w:rPr>
              <w:t>57.7/100</w:t>
            </w:r>
          </w:p>
        </w:tc>
        <w:tc>
          <w:tcPr>
            <w:tcW w:w="1882" w:type="dxa"/>
            <w:tcBorders>
              <w:top w:val="single" w:sz="8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2FF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0E0E10"/>
                <w:sz w:val="17"/>
              </w:rPr>
              <w:t>60.7/100</w:t>
            </w:r>
          </w:p>
        </w:tc>
        <w:tc>
          <w:tcPr>
            <w:tcW w:w="2635" w:type="dxa"/>
            <w:tcBorders>
              <w:top w:val="single" w:sz="8" w:space="0" w:color="B8912A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EEF2FF"/>
            <w:vAlign w:val="center"/>
          </w:tcPr>
          <w:p w:rsidR="00602B74" w:rsidRPr="00362EED" w:rsidRDefault="00602B74" w:rsidP="00602B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CF2027"/>
                <w:sz w:val="16"/>
              </w:rPr>
              <w:t>Ghana +3.0pts</w:t>
            </w:r>
          </w:p>
        </w:tc>
      </w:tr>
    </w:tbl>
    <w:p w:rsidR="008016A7" w:rsidRPr="00362EED" w:rsidRDefault="008016A7">
      <w:pPr>
        <w:rPr>
          <w:rFonts w:ascii="Times New Roman" w:hAnsi="Times New Roman" w:cs="Times New Roman"/>
        </w:rPr>
        <w:sectPr w:rsidR="008016A7" w:rsidRPr="00362EED">
          <w:type w:val="continuous"/>
          <w:pgSz w:w="11906" w:h="16838"/>
          <w:pgMar w:top="2559" w:right="4878" w:bottom="9673" w:left="1367" w:header="720" w:footer="720" w:gutter="0"/>
          <w:cols w:space="720"/>
        </w:sectPr>
      </w:pPr>
    </w:p>
    <w:p w:rsidR="008016A7" w:rsidRPr="00362EED" w:rsidRDefault="008016A7" w:rsidP="005228D6">
      <w:pPr>
        <w:spacing w:after="80"/>
        <w:ind w:right="3511"/>
        <w:rPr>
          <w:rFonts w:ascii="Times New Roman" w:hAnsi="Times New Roman" w:cs="Times New Roman"/>
        </w:rPr>
      </w:pPr>
    </w:p>
    <w:p w:rsidR="008016A7" w:rsidRPr="00362EED" w:rsidRDefault="00A318F8">
      <w:pPr>
        <w:spacing w:after="525"/>
        <w:ind w:right="-240"/>
        <w:rPr>
          <w:rFonts w:ascii="Times New Roman" w:hAnsi="Times New Roman" w:cs="Times New Roman"/>
        </w:rPr>
      </w:pPr>
      <w:r w:rsidRPr="00362EED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5976001" cy="12700"/>
                <wp:effectExtent l="0" t="0" r="0" b="0"/>
                <wp:docPr id="8690" name="Group 8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12700"/>
                          <a:chOff x="0" y="0"/>
                          <a:chExt cx="5976001" cy="12700"/>
                        </a:xfrm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597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891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90" style="width:470.551pt;height:1pt;mso-position-horizontal-relative:char;mso-position-vertical-relative:line" coordsize="59760,127">
                <v:shape id="Shape 401" style="position:absolute;width:59760;height:0;left:0;top:0;" coordsize="5976001,0" path="m0,0l5976001,0">
                  <v:stroke weight="1pt" endcap="flat" joinstyle="miter" miterlimit="10" on="true" color="#b8912a"/>
                  <v:fill on="false" color="#000000" opacity="0"/>
                </v:shape>
              </v:group>
            </w:pict>
          </mc:Fallback>
        </mc:AlternateContent>
      </w:r>
    </w:p>
    <w:p w:rsidR="008016A7" w:rsidRPr="00362EED" w:rsidRDefault="005228D6">
      <w:pPr>
        <w:pStyle w:val="Heading2"/>
        <w:ind w:left="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04 | SENSITIVITY ANALYSIS -</w:t>
      </w:r>
      <w:r w:rsidR="00A318F8" w:rsidRPr="00362EED">
        <w:rPr>
          <w:rFonts w:ascii="Times New Roman" w:hAnsi="Times New Roman" w:cs="Times New Roman"/>
        </w:rPr>
        <w:t xml:space="preserve"> ROBUSTNESS VALIDATION</w:t>
      </w:r>
    </w:p>
    <w:p w:rsidR="005228D6" w:rsidRDefault="00A318F8" w:rsidP="005228D6">
      <w:pPr>
        <w:spacing w:after="31"/>
        <w:ind w:left="25" w:right="-15"/>
        <w:jc w:val="both"/>
        <w:rPr>
          <w:rFonts w:ascii="Times New Roman" w:eastAsia="Times New Roman" w:hAnsi="Times New Roman" w:cs="Times New Roman"/>
          <w:color w:val="0E0E10"/>
          <w:sz w:val="19"/>
        </w:rPr>
      </w:pP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To validate that conclusions are not an artefact of weight selection, the model was re-run under five investment priority frameworks. </w:t>
      </w:r>
      <w:r w:rsidRPr="00362EED">
        <w:rPr>
          <w:rFonts w:ascii="Times New Roman" w:eastAsia="Times New Roman" w:hAnsi="Times New Roman" w:cs="Times New Roman"/>
          <w:b/>
          <w:color w:val="0E0E10"/>
          <w:sz w:val="19"/>
        </w:rPr>
        <w:t>Ghana's advantage over Kenya holds in 4 of 5 scenarios.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Only und</w:t>
      </w:r>
      <w:r w:rsidR="005228D6">
        <w:rPr>
          <w:rFonts w:ascii="Times New Roman" w:eastAsia="Times New Roman" w:hAnsi="Times New Roman" w:cs="Times New Roman"/>
          <w:color w:val="0E0E10"/>
          <w:sz w:val="19"/>
        </w:rPr>
        <w:t>er a Stability Focus weighting -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where macro weight increa</w:t>
      </w:r>
      <w:r w:rsidR="005228D6">
        <w:rPr>
          <w:rFonts w:ascii="Times New Roman" w:eastAsia="Times New Roman" w:hAnsi="Times New Roman" w:cs="Times New Roman"/>
          <w:color w:val="0E0E10"/>
          <w:sz w:val="19"/>
        </w:rPr>
        <w:t>ses to 45% -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does Kenya lead Ghana (61.0 vs 54.1), reflecting Kenya's dominant inflation discipline. South Africa leads the full 5-market ranking in 3 of 5 scenarios, confirming its structural maturity advantage outside the bilateral thesis scope.</w:t>
      </w:r>
    </w:p>
    <w:p w:rsidR="005228D6" w:rsidRPr="00362EED" w:rsidRDefault="005228D6">
      <w:pPr>
        <w:spacing w:after="31"/>
        <w:ind w:left="25" w:right="-15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58" w:type="dxa"/>
        <w:tblInd w:w="256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5"/>
        <w:gridCol w:w="941"/>
        <w:gridCol w:w="1035"/>
        <w:gridCol w:w="1129"/>
        <w:gridCol w:w="1129"/>
        <w:gridCol w:w="1129"/>
        <w:gridCol w:w="1600"/>
      </w:tblGrid>
      <w:tr w:rsidR="008016A7" w:rsidRPr="00362EED">
        <w:trPr>
          <w:trHeight w:val="800"/>
        </w:trPr>
        <w:tc>
          <w:tcPr>
            <w:tcW w:w="1694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SCENARIO</w:t>
            </w:r>
          </w:p>
        </w:tc>
        <w:tc>
          <w:tcPr>
            <w:tcW w:w="94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101"/>
              <w:ind w:left="15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MACRO</w:t>
            </w:r>
          </w:p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WT</w:t>
            </w:r>
          </w:p>
        </w:tc>
        <w:tc>
          <w:tcPr>
            <w:tcW w:w="10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101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GROWTH</w:t>
            </w:r>
          </w:p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WT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ind w:left="34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S.AFRICA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GHANA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KENYA</w:t>
            </w:r>
          </w:p>
        </w:tc>
        <w:tc>
          <w:tcPr>
            <w:tcW w:w="1600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101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GHANA vs</w:t>
            </w:r>
          </w:p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KENYA</w:t>
            </w:r>
          </w:p>
        </w:tc>
      </w:tr>
      <w:tr w:rsidR="008016A7" w:rsidRPr="00362EED">
        <w:trPr>
          <w:trHeight w:val="500"/>
        </w:trPr>
        <w:tc>
          <w:tcPr>
            <w:tcW w:w="1694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Base Case</w:t>
            </w:r>
          </w:p>
        </w:tc>
        <w:tc>
          <w:tcPr>
            <w:tcW w:w="94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30%</w:t>
            </w:r>
          </w:p>
        </w:tc>
        <w:tc>
          <w:tcPr>
            <w:tcW w:w="10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25%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68.3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2E7D52"/>
                <w:sz w:val="17"/>
              </w:rPr>
              <w:t>60.7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57.7</w:t>
            </w:r>
          </w:p>
        </w:tc>
        <w:tc>
          <w:tcPr>
            <w:tcW w:w="1600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CF2027"/>
                <w:sz w:val="16"/>
              </w:rPr>
              <w:t>Ghana +3.0</w:t>
            </w:r>
          </w:p>
        </w:tc>
      </w:tr>
      <w:tr w:rsidR="008016A7" w:rsidRPr="00362EED">
        <w:trPr>
          <w:trHeight w:val="500"/>
        </w:trPr>
        <w:tc>
          <w:tcPr>
            <w:tcW w:w="1694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Growth Focus</w:t>
            </w:r>
          </w:p>
        </w:tc>
        <w:tc>
          <w:tcPr>
            <w:tcW w:w="94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20%</w:t>
            </w:r>
          </w:p>
        </w:tc>
        <w:tc>
          <w:tcPr>
            <w:tcW w:w="10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35%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67.4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2E7D52"/>
                <w:sz w:val="17"/>
              </w:rPr>
              <w:t>63.8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52.8</w:t>
            </w:r>
          </w:p>
        </w:tc>
        <w:tc>
          <w:tcPr>
            <w:tcW w:w="1600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CF2027"/>
                <w:sz w:val="16"/>
              </w:rPr>
              <w:t>Ghana +11.0</w:t>
            </w:r>
          </w:p>
        </w:tc>
      </w:tr>
      <w:tr w:rsidR="008016A7" w:rsidRPr="00362EED">
        <w:trPr>
          <w:trHeight w:val="500"/>
        </w:trPr>
        <w:tc>
          <w:tcPr>
            <w:tcW w:w="1694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FF5F5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0E0E10"/>
                <w:sz w:val="17"/>
              </w:rPr>
              <w:t>Stability Focus</w:t>
            </w:r>
          </w:p>
        </w:tc>
        <w:tc>
          <w:tcPr>
            <w:tcW w:w="94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FF5F5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45%</w:t>
            </w:r>
          </w:p>
        </w:tc>
        <w:tc>
          <w:tcPr>
            <w:tcW w:w="10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FF5F5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20%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FF5F5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72.1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FF5F5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54.1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FF5F5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B8912A"/>
                <w:sz w:val="17"/>
              </w:rPr>
              <w:t>61.0</w:t>
            </w:r>
          </w:p>
        </w:tc>
        <w:tc>
          <w:tcPr>
            <w:tcW w:w="1600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FF5F5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1A6B3C"/>
                <w:sz w:val="16"/>
              </w:rPr>
              <w:t>Kenya +6.9</w:t>
            </w:r>
          </w:p>
        </w:tc>
      </w:tr>
      <w:tr w:rsidR="008016A7" w:rsidRPr="00362EED">
        <w:trPr>
          <w:trHeight w:val="500"/>
        </w:trPr>
        <w:tc>
          <w:tcPr>
            <w:tcW w:w="1694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Digital Focus</w:t>
            </w:r>
          </w:p>
        </w:tc>
        <w:tc>
          <w:tcPr>
            <w:tcW w:w="94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25%</w:t>
            </w:r>
          </w:p>
        </w:tc>
        <w:tc>
          <w:tcPr>
            <w:tcW w:w="10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20%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74.2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2E7D52"/>
                <w:sz w:val="17"/>
              </w:rPr>
              <w:t>67.5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61.6</w:t>
            </w:r>
          </w:p>
        </w:tc>
        <w:tc>
          <w:tcPr>
            <w:tcW w:w="1600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CF2027"/>
                <w:sz w:val="16"/>
              </w:rPr>
              <w:t>Ghana +5.9</w:t>
            </w:r>
          </w:p>
        </w:tc>
      </w:tr>
      <w:tr w:rsidR="008016A7" w:rsidRPr="00362EED">
        <w:trPr>
          <w:trHeight w:val="500"/>
        </w:trPr>
        <w:tc>
          <w:tcPr>
            <w:tcW w:w="1694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Equal Weights</w:t>
            </w:r>
          </w:p>
        </w:tc>
        <w:tc>
          <w:tcPr>
            <w:tcW w:w="94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20%</w:t>
            </w:r>
          </w:p>
        </w:tc>
        <w:tc>
          <w:tcPr>
            <w:tcW w:w="103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20%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64.1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2E7D52"/>
                <w:sz w:val="17"/>
              </w:rPr>
              <w:t>63.5</w:t>
            </w:r>
          </w:p>
        </w:tc>
        <w:tc>
          <w:tcPr>
            <w:tcW w:w="1129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7"/>
              </w:rPr>
              <w:t>56.3</w:t>
            </w:r>
          </w:p>
        </w:tc>
        <w:tc>
          <w:tcPr>
            <w:tcW w:w="1600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right="38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CF2027"/>
                <w:sz w:val="16"/>
              </w:rPr>
              <w:t>Ghana +7.2</w:t>
            </w:r>
          </w:p>
        </w:tc>
      </w:tr>
    </w:tbl>
    <w:p w:rsidR="005228D6" w:rsidRDefault="005228D6">
      <w:pPr>
        <w:spacing w:after="0"/>
        <w:ind w:right="-240"/>
        <w:rPr>
          <w:rFonts w:ascii="Times New Roman" w:hAnsi="Times New Roman" w:cs="Times New Roman"/>
        </w:rPr>
      </w:pPr>
    </w:p>
    <w:p w:rsidR="008016A7" w:rsidRPr="00362EED" w:rsidRDefault="00A318F8">
      <w:pPr>
        <w:spacing w:after="0"/>
        <w:ind w:right="-240"/>
        <w:rPr>
          <w:rFonts w:ascii="Times New Roman" w:hAnsi="Times New Roman" w:cs="Times New Roman"/>
        </w:rPr>
      </w:pPr>
      <w:r w:rsidRPr="00362EED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5976001" cy="5080"/>
                <wp:effectExtent l="0" t="0" r="0" b="0"/>
                <wp:docPr id="8691" name="Group 8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5080"/>
                          <a:chOff x="0" y="0"/>
                          <a:chExt cx="5976001" cy="5080"/>
                        </a:xfrm>
                      </wpg:grpSpPr>
                      <wps:wsp>
                        <wps:cNvPr id="477" name="Shape 477"/>
                        <wps:cNvSpPr/>
                        <wps:spPr>
                          <a:xfrm>
                            <a:off x="0" y="0"/>
                            <a:ext cx="597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D4C5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91" style="width:470.551pt;height:0.4pt;mso-position-horizontal-relative:char;mso-position-vertical-relative:line" coordsize="59760,50">
                <v:shape id="Shape 477" style="position:absolute;width:59760;height:0;left:0;top:0;" coordsize="5976001,0" path="m0,0l5976001,0">
                  <v:stroke weight="0.4pt" endcap="flat" joinstyle="miter" miterlimit="10" on="true" color="#d4c5a9"/>
                  <v:fill on="false" color="#000000" opacity="0"/>
                </v:shape>
              </v:group>
            </w:pict>
          </mc:Fallback>
        </mc:AlternateContent>
      </w:r>
    </w:p>
    <w:p w:rsidR="008016A7" w:rsidRPr="00362EED" w:rsidRDefault="008016A7">
      <w:pPr>
        <w:rPr>
          <w:rFonts w:ascii="Times New Roman" w:hAnsi="Times New Roman" w:cs="Times New Roman"/>
        </w:rPr>
        <w:sectPr w:rsidR="008016A7" w:rsidRPr="00362EED">
          <w:type w:val="continuous"/>
          <w:pgSz w:w="11906" w:h="16838"/>
          <w:pgMar w:top="1299" w:right="1367" w:bottom="8904" w:left="1367" w:header="720" w:footer="720" w:gutter="0"/>
          <w:cols w:space="720"/>
        </w:sectPr>
      </w:pPr>
    </w:p>
    <w:p w:rsidR="005621A0" w:rsidRDefault="005621A0">
      <w:pPr>
        <w:spacing w:after="307" w:line="265" w:lineRule="auto"/>
        <w:ind w:left="21" w:hanging="10"/>
        <w:rPr>
          <w:rFonts w:ascii="Times New Roman" w:eastAsia="Arial" w:hAnsi="Times New Roman" w:cs="Times New Roman"/>
          <w:b/>
          <w:color w:val="1B3A6B"/>
          <w:sz w:val="16"/>
        </w:rPr>
      </w:pPr>
    </w:p>
    <w:p w:rsidR="008016A7" w:rsidRPr="00362EED" w:rsidRDefault="00A318F8">
      <w:pPr>
        <w:spacing w:after="307" w:line="265" w:lineRule="auto"/>
        <w:ind w:left="21" w:hanging="10"/>
        <w:rPr>
          <w:rFonts w:ascii="Times New Roman" w:hAnsi="Times New Roman" w:cs="Times New Roman"/>
        </w:rPr>
      </w:pPr>
      <w:r w:rsidRPr="00362EED">
        <w:rPr>
          <w:rFonts w:ascii="Times New Roman" w:eastAsia="Arial" w:hAnsi="Times New Roman" w:cs="Times New Roman"/>
          <w:b/>
          <w:color w:val="1B3A6B"/>
          <w:sz w:val="16"/>
        </w:rPr>
        <w:t>05 | KEY RISK FACTORS</w:t>
      </w:r>
    </w:p>
    <w:p w:rsidR="008016A7" w:rsidRPr="00362EED" w:rsidRDefault="00A318F8">
      <w:pPr>
        <w:pStyle w:val="Heading1"/>
        <w:ind w:left="-5"/>
      </w:pPr>
      <w:r w:rsidRPr="00362EED">
        <w:lastRenderedPageBreak/>
        <w:t>Ghana Risks</w:t>
      </w:r>
    </w:p>
    <w:p w:rsidR="008016A7" w:rsidRPr="00362EED" w:rsidRDefault="00A318F8" w:rsidP="00616EFD">
      <w:pPr>
        <w:spacing w:after="60" w:line="327" w:lineRule="auto"/>
        <w:ind w:right="-15"/>
        <w:jc w:val="both"/>
        <w:rPr>
          <w:rFonts w:ascii="Times New Roman" w:hAnsi="Times New Roman" w:cs="Times New Roman"/>
        </w:rPr>
      </w:pPr>
      <w:r w:rsidRPr="00362EED">
        <w:rPr>
          <w:rFonts w:ascii="Times New Roman" w:eastAsia="Times New Roman" w:hAnsi="Times New Roman" w:cs="Times New Roman"/>
          <w:color w:val="0E0E10"/>
          <w:sz w:val="19"/>
        </w:rPr>
        <w:t>Inflatio</w:t>
      </w:r>
      <w:r w:rsidR="004E186A">
        <w:rPr>
          <w:rFonts w:ascii="Times New Roman" w:eastAsia="Times New Roman" w:hAnsi="Times New Roman" w:cs="Times New Roman"/>
          <w:color w:val="0E0E10"/>
          <w:sz w:val="19"/>
        </w:rPr>
        <w:t>n at 22.8% erodes real returns</w:t>
      </w:r>
      <w:r w:rsidR="00616EFD">
        <w:rPr>
          <w:rFonts w:ascii="Times New Roman" w:eastAsia="Times New Roman" w:hAnsi="Times New Roman" w:cs="Times New Roman"/>
          <w:color w:val="0E0E10"/>
          <w:sz w:val="19"/>
        </w:rPr>
        <w:t xml:space="preserve"> - 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>requires</w:t>
      </w:r>
      <w:r w:rsidR="00616EFD">
        <w:rPr>
          <w:rFonts w:ascii="Times New Roman" w:eastAsia="Times New Roman" w:hAnsi="Times New Roman" w:cs="Times New Roman"/>
          <w:color w:val="0E0E10"/>
          <w:sz w:val="19"/>
        </w:rPr>
        <w:t xml:space="preserve"> 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>inflation-hedged structures or active currency risk management across a multi-year hold period.</w:t>
      </w:r>
    </w:p>
    <w:p w:rsidR="008016A7" w:rsidRPr="00362EED" w:rsidRDefault="00A318F8" w:rsidP="00616EFD">
      <w:pPr>
        <w:spacing w:after="60" w:line="327" w:lineRule="auto"/>
        <w:ind w:right="-15"/>
        <w:jc w:val="both"/>
        <w:rPr>
          <w:rFonts w:ascii="Times New Roman" w:hAnsi="Times New Roman" w:cs="Times New Roman"/>
        </w:rPr>
      </w:pP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Government debt at 84.9% of GDP limits fiscal </w:t>
      </w:r>
      <w:r w:rsidR="00074D79" w:rsidRPr="00362EED">
        <w:rPr>
          <w:rFonts w:ascii="Times New Roman" w:eastAsia="Times New Roman" w:hAnsi="Times New Roman" w:cs="Times New Roman"/>
          <w:color w:val="0E0E10"/>
          <w:sz w:val="19"/>
        </w:rPr>
        <w:t>space and</w:t>
      </w:r>
      <w:r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increases sovereign refinancing risk in a rising rate environment.</w:t>
      </w:r>
    </w:p>
    <w:p w:rsidR="008016A7" w:rsidRPr="00362EED" w:rsidRDefault="004E186A" w:rsidP="00616EFD">
      <w:pPr>
        <w:spacing w:after="530" w:line="327" w:lineRule="auto"/>
        <w:ind w:right="-15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E0E10"/>
          <w:sz w:val="19"/>
        </w:rPr>
        <w:t>Currency volatility -</w:t>
      </w:r>
      <w:r w:rsidR="00616EFD">
        <w:rPr>
          <w:rFonts w:ascii="Times New Roman" w:eastAsia="Times New Roman" w:hAnsi="Times New Roman" w:cs="Times New Roman"/>
          <w:color w:val="0E0E10"/>
          <w:sz w:val="19"/>
        </w:rPr>
        <w:t xml:space="preserve"> </w:t>
      </w:r>
      <w:r w:rsidR="00A318F8"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GHS depreciation </w:t>
      </w:r>
      <w:r w:rsidR="00074D79" w:rsidRPr="00362EED">
        <w:rPr>
          <w:rFonts w:ascii="Times New Roman" w:eastAsia="Times New Roman" w:hAnsi="Times New Roman" w:cs="Times New Roman"/>
          <w:color w:val="0E0E10"/>
          <w:sz w:val="19"/>
        </w:rPr>
        <w:t>pressure requires</w:t>
      </w:r>
      <w:r w:rsidR="00A318F8" w:rsidRPr="00362EED">
        <w:rPr>
          <w:rFonts w:ascii="Times New Roman" w:eastAsia="Times New Roman" w:hAnsi="Times New Roman" w:cs="Times New Roman"/>
          <w:color w:val="0E0E10"/>
          <w:sz w:val="19"/>
        </w:rPr>
        <w:t xml:space="preserve"> dollar-denominated return modelling and hedging strategy.</w:t>
      </w:r>
    </w:p>
    <w:p w:rsidR="008016A7" w:rsidRPr="005621A0" w:rsidRDefault="00A318F8" w:rsidP="005621A0">
      <w:pPr>
        <w:pStyle w:val="Heading1"/>
        <w:ind w:left="-5"/>
      </w:pPr>
      <w:r w:rsidRPr="00362EED">
        <w:t>Kenya Risks</w:t>
      </w:r>
    </w:p>
    <w:p w:rsidR="008016A7" w:rsidRPr="00616EFD" w:rsidRDefault="00A318F8" w:rsidP="00616EFD">
      <w:pPr>
        <w:spacing w:after="60" w:line="327" w:lineRule="auto"/>
        <w:ind w:right="-15"/>
        <w:jc w:val="both"/>
        <w:rPr>
          <w:rFonts w:ascii="Times New Roman" w:hAnsi="Times New Roman" w:cs="Times New Roman"/>
        </w:rPr>
      </w:pPr>
      <w:r w:rsidRPr="00616EFD">
        <w:rPr>
          <w:rFonts w:ascii="Times New Roman" w:eastAsia="Times New Roman" w:hAnsi="Times New Roman" w:cs="Times New Roman"/>
          <w:color w:val="0E0E10"/>
          <w:sz w:val="19"/>
        </w:rPr>
        <w:t>FDI inflows at 0.8% of G</w:t>
      </w:r>
      <w:r w:rsidR="00616EFD" w:rsidRPr="00616EFD">
        <w:rPr>
          <w:rFonts w:ascii="Times New Roman" w:eastAsia="Times New Roman" w:hAnsi="Times New Roman" w:cs="Times New Roman"/>
          <w:color w:val="0E0E10"/>
          <w:sz w:val="19"/>
        </w:rPr>
        <w:t xml:space="preserve">DP - the lowest in </w:t>
      </w:r>
      <w:r w:rsidR="00074D79" w:rsidRPr="00616EFD">
        <w:rPr>
          <w:rFonts w:ascii="Times New Roman" w:eastAsia="Times New Roman" w:hAnsi="Times New Roman" w:cs="Times New Roman"/>
          <w:color w:val="0E0E10"/>
          <w:sz w:val="19"/>
        </w:rPr>
        <w:t>our universe</w:t>
      </w:r>
      <w:r w:rsidR="00616EFD" w:rsidRPr="00616EFD">
        <w:rPr>
          <w:rFonts w:ascii="Times New Roman" w:eastAsia="Times New Roman" w:hAnsi="Times New Roman" w:cs="Times New Roman"/>
          <w:color w:val="0E0E10"/>
          <w:sz w:val="19"/>
        </w:rPr>
        <w:t xml:space="preserve"> -</w:t>
      </w:r>
      <w:r w:rsidRPr="00616EFD">
        <w:rPr>
          <w:rFonts w:ascii="Times New Roman" w:eastAsia="Times New Roman" w:hAnsi="Times New Roman" w:cs="Times New Roman"/>
          <w:color w:val="0E0E10"/>
          <w:sz w:val="19"/>
        </w:rPr>
        <w:t xml:space="preserve"> may signal regulatory friction or political risk not captured in macro indicators alone.</w:t>
      </w:r>
    </w:p>
    <w:p w:rsidR="008016A7" w:rsidRPr="00616EFD" w:rsidRDefault="00A318F8" w:rsidP="00616EFD">
      <w:pPr>
        <w:spacing w:after="60" w:line="327" w:lineRule="auto"/>
        <w:ind w:right="-15"/>
        <w:jc w:val="both"/>
        <w:rPr>
          <w:rFonts w:ascii="Times New Roman" w:hAnsi="Times New Roman" w:cs="Times New Roman"/>
        </w:rPr>
      </w:pPr>
      <w:r w:rsidRPr="00616EFD">
        <w:rPr>
          <w:rFonts w:ascii="Times New Roman" w:eastAsia="Times New Roman" w:hAnsi="Times New Roman" w:cs="Times New Roman"/>
          <w:color w:val="0E0E10"/>
          <w:sz w:val="19"/>
        </w:rPr>
        <w:t>GDP growth of 5.1%, while solid, may n</w:t>
      </w:r>
      <w:r w:rsidRPr="00616EFD">
        <w:rPr>
          <w:rFonts w:ascii="Times New Roman" w:eastAsia="Times New Roman" w:hAnsi="Times New Roman" w:cs="Times New Roman"/>
          <w:color w:val="0E0E10"/>
          <w:sz w:val="19"/>
        </w:rPr>
        <w:t xml:space="preserve">ot </w:t>
      </w:r>
      <w:r w:rsidR="00074D79" w:rsidRPr="00616EFD">
        <w:rPr>
          <w:rFonts w:ascii="Times New Roman" w:eastAsia="Times New Roman" w:hAnsi="Times New Roman" w:cs="Times New Roman"/>
          <w:color w:val="0E0E10"/>
          <w:sz w:val="19"/>
        </w:rPr>
        <w:t>generate the</w:t>
      </w:r>
      <w:r w:rsidRPr="00616EFD">
        <w:rPr>
          <w:rFonts w:ascii="Times New Roman" w:eastAsia="Times New Roman" w:hAnsi="Times New Roman" w:cs="Times New Roman"/>
          <w:color w:val="0E0E10"/>
          <w:sz w:val="19"/>
        </w:rPr>
        <w:t xml:space="preserve"> return multiples required for PE-style exits on a compressed 5-7 year fund lifecycle.</w:t>
      </w:r>
    </w:p>
    <w:p w:rsidR="005621A0" w:rsidRPr="00074D79" w:rsidRDefault="00A318F8" w:rsidP="00074D79">
      <w:pPr>
        <w:spacing w:after="60" w:line="327" w:lineRule="auto"/>
        <w:ind w:right="-15"/>
        <w:jc w:val="both"/>
        <w:rPr>
          <w:rFonts w:ascii="Times New Roman" w:hAnsi="Times New Roman" w:cs="Times New Roman"/>
        </w:rPr>
        <w:sectPr w:rsidR="005621A0" w:rsidRPr="00074D79">
          <w:type w:val="continuous"/>
          <w:pgSz w:w="11906" w:h="16838"/>
          <w:pgMar w:top="1440" w:right="1341" w:bottom="1440" w:left="1341" w:header="720" w:footer="720" w:gutter="0"/>
          <w:cols w:num="2" w:space="560"/>
        </w:sectPr>
      </w:pPr>
      <w:r w:rsidRPr="00616EFD">
        <w:rPr>
          <w:rFonts w:ascii="Times New Roman" w:eastAsia="Times New Roman" w:hAnsi="Times New Roman" w:cs="Times New Roman"/>
          <w:color w:val="0E0E10"/>
          <w:sz w:val="19"/>
        </w:rPr>
        <w:t>Government debt at 7</w:t>
      </w:r>
      <w:r w:rsidR="00616EFD" w:rsidRPr="00616EFD">
        <w:rPr>
          <w:rFonts w:ascii="Times New Roman" w:eastAsia="Times New Roman" w:hAnsi="Times New Roman" w:cs="Times New Roman"/>
          <w:color w:val="0E0E10"/>
          <w:sz w:val="19"/>
        </w:rPr>
        <w:t>0.2% is on an upward trajectory</w:t>
      </w:r>
      <w:r w:rsidR="00616EFD">
        <w:rPr>
          <w:rFonts w:ascii="Times New Roman" w:eastAsia="Times New Roman" w:hAnsi="Times New Roman" w:cs="Times New Roman"/>
          <w:color w:val="0E0E10"/>
          <w:sz w:val="19"/>
        </w:rPr>
        <w:t xml:space="preserve"> </w:t>
      </w:r>
      <w:r w:rsidR="00616EFD" w:rsidRPr="00616EFD">
        <w:rPr>
          <w:rFonts w:ascii="Times New Roman" w:eastAsia="Times New Roman" w:hAnsi="Times New Roman" w:cs="Times New Roman"/>
          <w:color w:val="0E0E10"/>
          <w:sz w:val="19"/>
        </w:rPr>
        <w:t>-</w:t>
      </w:r>
      <w:r w:rsidR="00616EFD">
        <w:rPr>
          <w:rFonts w:ascii="Times New Roman" w:eastAsia="Times New Roman" w:hAnsi="Times New Roman" w:cs="Times New Roman"/>
          <w:color w:val="0E0E10"/>
          <w:sz w:val="19"/>
        </w:rPr>
        <w:t xml:space="preserve"> </w:t>
      </w:r>
      <w:r w:rsidRPr="00616EFD">
        <w:rPr>
          <w:rFonts w:ascii="Times New Roman" w:eastAsia="Times New Roman" w:hAnsi="Times New Roman" w:cs="Times New Roman"/>
          <w:color w:val="0E0E10"/>
          <w:sz w:val="19"/>
        </w:rPr>
        <w:t>if unchecked, Kenya's macro stability advantage could narrow materially by 2028-2030.</w:t>
      </w:r>
    </w:p>
    <w:p w:rsidR="00616EFD" w:rsidRDefault="00074D79">
      <w:pPr>
        <w:pBdr>
          <w:left w:val="single" w:sz="32" w:space="0" w:color="B8912A"/>
        </w:pBdr>
        <w:shd w:val="clear" w:color="auto" w:fill="2C3E50"/>
        <w:spacing w:after="282"/>
        <w:ind w:left="240" w:right="240"/>
        <w:jc w:val="both"/>
        <w:rPr>
          <w:rFonts w:ascii="Times New Roman" w:eastAsia="Times New Roman" w:hAnsi="Times New Roman" w:cs="Times New Roman"/>
          <w:i/>
          <w:color w:val="FFFFFF"/>
          <w:sz w:val="21"/>
        </w:rPr>
      </w:pPr>
      <w:r>
        <w:t>06 | INVESTMENT COMMITTEE RECOMMENDATION</w:t>
      </w:r>
      <w:r w:rsidR="004E186A">
        <w:rPr>
          <w:rFonts w:ascii="Times New Roman" w:eastAsia="Times New Roman" w:hAnsi="Times New Roman" w:cs="Times New Roman"/>
          <w:i/>
          <w:color w:val="FFFFFF"/>
          <w:sz w:val="21"/>
        </w:rPr>
        <w:t xml:space="preserve">   </w:t>
      </w:r>
    </w:p>
    <w:p w:rsidR="00575514" w:rsidRDefault="004E186A">
      <w:pPr>
        <w:pBdr>
          <w:left w:val="single" w:sz="32" w:space="0" w:color="B8912A"/>
        </w:pBdr>
        <w:shd w:val="clear" w:color="auto" w:fill="2C3E50"/>
        <w:spacing w:after="282"/>
        <w:ind w:left="240" w:right="240"/>
        <w:jc w:val="both"/>
        <w:rPr>
          <w:rFonts w:ascii="Times New Roman" w:eastAsia="Times New Roman" w:hAnsi="Times New Roman" w:cs="Times New Roman"/>
          <w:i/>
          <w:color w:val="FFFFFF"/>
          <w:sz w:val="21"/>
        </w:rPr>
      </w:pPr>
      <w:r w:rsidRPr="00362EED">
        <w:rPr>
          <w:rFonts w:ascii="Times New Roman" w:eastAsia="Arial" w:hAnsi="Times New Roman" w:cs="Times New Roman"/>
          <w:b/>
          <w:color w:val="E8D5A3"/>
          <w:sz w:val="16"/>
        </w:rPr>
        <w:t>INVESTMENT VERDICT</w:t>
      </w:r>
    </w:p>
    <w:p w:rsidR="008016A7" w:rsidRPr="00362EED" w:rsidRDefault="00A318F8">
      <w:pPr>
        <w:pBdr>
          <w:left w:val="single" w:sz="32" w:space="0" w:color="B8912A"/>
        </w:pBdr>
        <w:shd w:val="clear" w:color="auto" w:fill="2C3E50"/>
        <w:spacing w:after="282"/>
        <w:ind w:left="240" w:right="240"/>
        <w:jc w:val="both"/>
        <w:rPr>
          <w:rFonts w:ascii="Times New Roman" w:hAnsi="Times New Roman" w:cs="Times New Roman"/>
        </w:rPr>
      </w:pP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Ghana presents a superior risk-adjusted opportunity for growth-oriented patient capital relative </w:t>
      </w:r>
      <w:r w:rsidR="00074D79" w:rsidRPr="00362EED">
        <w:rPr>
          <w:rFonts w:ascii="Times New Roman" w:eastAsia="Times New Roman" w:hAnsi="Times New Roman" w:cs="Times New Roman"/>
          <w:i/>
          <w:color w:val="FFFFFF"/>
          <w:sz w:val="21"/>
        </w:rPr>
        <w:t>to</w:t>
      </w:r>
      <w:r w:rsidR="00074D79">
        <w:rPr>
          <w:rFonts w:ascii="Times New Roman" w:eastAsia="Times New Roman" w:hAnsi="Times New Roman" w:cs="Times New Roman"/>
          <w:i/>
          <w:color w:val="FFFFFF"/>
          <w:sz w:val="21"/>
        </w:rPr>
        <w:t xml:space="preserve"> </w:t>
      </w:r>
      <w:r w:rsidR="00074D79" w:rsidRPr="00362EED">
        <w:rPr>
          <w:rFonts w:ascii="Times New Roman" w:eastAsia="Times New Roman" w:hAnsi="Times New Roman" w:cs="Times New Roman"/>
          <w:i/>
          <w:color w:val="FFFFFF"/>
          <w:sz w:val="21"/>
        </w:rPr>
        <w:t>Kenya</w:t>
      </w:r>
      <w:r w:rsidR="00616EFD">
        <w:rPr>
          <w:rFonts w:ascii="Times New Roman" w:eastAsia="Times New Roman" w:hAnsi="Times New Roman" w:cs="Times New Roman"/>
          <w:i/>
          <w:color w:val="FFFFFF"/>
          <w:sz w:val="21"/>
        </w:rPr>
        <w:t>. Its 3.0-point composite lead -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robust acros</w:t>
      </w:r>
      <w:r w:rsidR="00616EFD">
        <w:rPr>
          <w:rFonts w:ascii="Times New Roman" w:eastAsia="Times New Roman" w:hAnsi="Times New Roman" w:cs="Times New Roman"/>
          <w:i/>
          <w:color w:val="FFFFFF"/>
          <w:sz w:val="21"/>
        </w:rPr>
        <w:t xml:space="preserve">s </w:t>
      </w:r>
      <w:proofErr w:type="gramStart"/>
      <w:r w:rsidR="00616EFD">
        <w:rPr>
          <w:rFonts w:ascii="Times New Roman" w:eastAsia="Times New Roman" w:hAnsi="Times New Roman" w:cs="Times New Roman"/>
          <w:i/>
          <w:color w:val="FFFFFF"/>
          <w:sz w:val="21"/>
        </w:rPr>
        <w:t>4</w:t>
      </w:r>
      <w:proofErr w:type="gramEnd"/>
      <w:r w:rsidR="00616EF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of 5 sensitivity scenarios -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is anchored by </w:t>
      </w:r>
      <w:r w:rsidRPr="00362EED">
        <w:rPr>
          <w:rFonts w:ascii="Times New Roman" w:eastAsia="Times New Roman" w:hAnsi="Times New Roman" w:cs="Times New Roman"/>
          <w:b/>
          <w:i/>
          <w:color w:val="FFFFFF"/>
          <w:sz w:val="21"/>
        </w:rPr>
        <w:t>FDI inflows of 2.1% of GDP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</w:t>
      </w:r>
      <w:r w:rsidR="00074D79" w:rsidRPr="00362EED">
        <w:rPr>
          <w:rFonts w:ascii="Times New Roman" w:eastAsia="Times New Roman" w:hAnsi="Times New Roman" w:cs="Times New Roman"/>
          <w:i/>
          <w:color w:val="FFFFFF"/>
          <w:sz w:val="21"/>
        </w:rPr>
        <w:t>signaling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strong foreign inves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tor confidence, a </w:t>
      </w:r>
      <w:r w:rsidRPr="00362EED">
        <w:rPr>
          <w:rFonts w:ascii="Times New Roman" w:eastAsia="Times New Roman" w:hAnsi="Times New Roman" w:cs="Times New Roman"/>
          <w:b/>
          <w:i/>
          <w:color w:val="FFFFFF"/>
          <w:sz w:val="21"/>
        </w:rPr>
        <w:t xml:space="preserve">perfect digital economy score 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reflecting the infrastructure required </w:t>
      </w:r>
      <w:r w:rsidR="00F428D3">
        <w:rPr>
          <w:rFonts w:ascii="Times New Roman" w:eastAsia="Times New Roman" w:hAnsi="Times New Roman" w:cs="Times New Roman"/>
          <w:i/>
          <w:color w:val="FFFFFF"/>
          <w:sz w:val="21"/>
        </w:rPr>
        <w:t xml:space="preserve">for </w:t>
      </w:r>
      <w:proofErr w:type="spellStart"/>
      <w:r w:rsidR="00F428D3">
        <w:rPr>
          <w:rFonts w:ascii="Times New Roman" w:eastAsia="Times New Roman" w:hAnsi="Times New Roman" w:cs="Times New Roman"/>
          <w:i/>
          <w:color w:val="FFFFFF"/>
          <w:sz w:val="21"/>
        </w:rPr>
        <w:t>fintech</w:t>
      </w:r>
      <w:proofErr w:type="spellEnd"/>
      <w:r w:rsidR="00F428D3">
        <w:rPr>
          <w:rFonts w:ascii="Times New Roman" w:eastAsia="Times New Roman" w:hAnsi="Times New Roman" w:cs="Times New Roman"/>
          <w:i/>
          <w:color w:val="FFFFFF"/>
          <w:sz w:val="21"/>
        </w:rPr>
        <w:t xml:space="preserve"> and tech-enabled PE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and a superior growth trajectory. Kenya's deci</w:t>
      </w:r>
      <w:r w:rsidR="00616EFD">
        <w:rPr>
          <w:rFonts w:ascii="Times New Roman" w:eastAsia="Times New Roman" w:hAnsi="Times New Roman" w:cs="Times New Roman"/>
          <w:i/>
          <w:color w:val="FFFFFF"/>
          <w:sz w:val="21"/>
        </w:rPr>
        <w:t>sive macro stability advantage -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</w:t>
      </w:r>
      <w:r w:rsidRPr="00362EED">
        <w:rPr>
          <w:rFonts w:ascii="Times New Roman" w:eastAsia="Times New Roman" w:hAnsi="Times New Roman" w:cs="Times New Roman"/>
          <w:b/>
          <w:i/>
          <w:color w:val="FFFFFF"/>
          <w:sz w:val="21"/>
        </w:rPr>
        <w:t>inflation of 4.5% versus Ghana's 22.8%</w:t>
      </w:r>
      <w:r w:rsidR="00616EF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-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makes it the pre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ferred market for capital-preservation and </w:t>
      </w:r>
      <w:r w:rsidR="00074D79" w:rsidRPr="00362EED">
        <w:rPr>
          <w:rFonts w:ascii="Times New Roman" w:eastAsia="Times New Roman" w:hAnsi="Times New Roman" w:cs="Times New Roman"/>
          <w:i/>
          <w:color w:val="FFFFFF"/>
          <w:sz w:val="21"/>
        </w:rPr>
        <w:t>income generating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mandates where protecting real returns takes precedence over </w:t>
      </w:r>
      <w:r w:rsidR="00074D79" w:rsidRPr="00362EED">
        <w:rPr>
          <w:rFonts w:ascii="Times New Roman" w:eastAsia="Times New Roman" w:hAnsi="Times New Roman" w:cs="Times New Roman"/>
          <w:i/>
          <w:color w:val="FFFFFF"/>
          <w:sz w:val="21"/>
        </w:rPr>
        <w:t>maximizing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growth. We recommend a </w:t>
      </w:r>
      <w:r w:rsidRPr="00362EED">
        <w:rPr>
          <w:rFonts w:ascii="Times New Roman" w:eastAsia="Times New Roman" w:hAnsi="Times New Roman" w:cs="Times New Roman"/>
          <w:b/>
          <w:i/>
          <w:color w:val="FFFFFF"/>
          <w:sz w:val="21"/>
        </w:rPr>
        <w:t>sector-dependent dual allocation: 60% Ghana / 40% Kenya</w:t>
      </w:r>
      <w:r w:rsidR="00616EF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-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directing </w:t>
      </w:r>
      <w:r w:rsidR="00F428D3">
        <w:rPr>
          <w:rFonts w:ascii="Times New Roman" w:eastAsia="Times New Roman" w:hAnsi="Times New Roman" w:cs="Times New Roman"/>
          <w:i/>
          <w:color w:val="FFFFFF"/>
          <w:sz w:val="21"/>
        </w:rPr>
        <w:t>fintech, digital infrastructure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and consumer-sector capital into Ghana</w:t>
      </w:r>
      <w:proofErr w:type="gramStart"/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>;</w:t>
      </w:r>
      <w:proofErr w:type="gramEnd"/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dire</w:t>
      </w:r>
      <w:r w:rsidR="00D9333B">
        <w:rPr>
          <w:rFonts w:ascii="Times New Roman" w:eastAsia="Times New Roman" w:hAnsi="Times New Roman" w:cs="Times New Roman"/>
          <w:i/>
          <w:color w:val="FFFFFF"/>
          <w:sz w:val="21"/>
        </w:rPr>
        <w:t>cting real estate, fixed income</w:t>
      </w:r>
      <w:r w:rsidRPr="00362EED">
        <w:rPr>
          <w:rFonts w:ascii="Times New Roman" w:eastAsia="Times New Roman" w:hAnsi="Times New Roman" w:cs="Times New Roman"/>
          <w:i/>
          <w:color w:val="FFFFFF"/>
          <w:sz w:val="21"/>
        </w:rPr>
        <w:t xml:space="preserve"> and defensive PE into Kenya.</w:t>
      </w:r>
    </w:p>
    <w:tbl>
      <w:tblPr>
        <w:tblStyle w:val="TableGrid"/>
        <w:tblW w:w="9258" w:type="dxa"/>
        <w:tblInd w:w="6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1517"/>
        <w:gridCol w:w="20"/>
        <w:gridCol w:w="3325"/>
        <w:gridCol w:w="2275"/>
      </w:tblGrid>
      <w:tr w:rsidR="00952E00" w:rsidRPr="00362EED" w:rsidTr="00952E00">
        <w:trPr>
          <w:trHeight w:val="884"/>
        </w:trPr>
        <w:tc>
          <w:tcPr>
            <w:tcW w:w="212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MANDATE TYPE</w:t>
            </w:r>
          </w:p>
        </w:tc>
        <w:tc>
          <w:tcPr>
            <w:tcW w:w="1517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nil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101"/>
              <w:ind w:left="213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PREFERRED</w:t>
            </w:r>
          </w:p>
          <w:p w:rsidR="008016A7" w:rsidRPr="00362EED" w:rsidRDefault="00A318F8">
            <w:pPr>
              <w:spacing w:after="0"/>
              <w:ind w:left="213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MARKET</w:t>
            </w:r>
          </w:p>
        </w:tc>
        <w:tc>
          <w:tcPr>
            <w:tcW w:w="20" w:type="dxa"/>
            <w:tcBorders>
              <w:top w:val="single" w:sz="2" w:space="0" w:color="D4C5A9"/>
              <w:left w:val="nil"/>
              <w:bottom w:val="single" w:sz="2" w:space="0" w:color="D4C5A9"/>
              <w:right w:val="single" w:sz="2" w:space="0" w:color="D4C5A9"/>
            </w:tcBorders>
            <w:shd w:val="clear" w:color="auto" w:fill="1B3A6B"/>
          </w:tcPr>
          <w:p w:rsidR="008016A7" w:rsidRPr="00362EED" w:rsidRDefault="008016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2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RATIONALE</w:t>
            </w:r>
          </w:p>
        </w:tc>
        <w:tc>
          <w:tcPr>
            <w:tcW w:w="227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1B3A6B"/>
            <w:vAlign w:val="center"/>
          </w:tcPr>
          <w:p w:rsidR="008016A7" w:rsidRPr="00362EED" w:rsidRDefault="00A318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FFFFFF"/>
                <w:sz w:val="16"/>
              </w:rPr>
              <w:t>SUGGESTED ALLOCATION</w:t>
            </w:r>
          </w:p>
        </w:tc>
      </w:tr>
      <w:tr w:rsidR="00952E00" w:rsidRPr="00362EED" w:rsidTr="00952E00">
        <w:trPr>
          <w:trHeight w:val="567"/>
        </w:trPr>
        <w:tc>
          <w:tcPr>
            <w:tcW w:w="2121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0E0E10"/>
                <w:sz w:val="16"/>
              </w:rPr>
              <w:t>Growth / Fintech / VC</w:t>
            </w:r>
          </w:p>
        </w:tc>
        <w:tc>
          <w:tcPr>
            <w:tcW w:w="1517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nil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left="213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CF2027"/>
                <w:sz w:val="17"/>
              </w:rPr>
              <w:t>Ghana</w:t>
            </w:r>
          </w:p>
        </w:tc>
        <w:tc>
          <w:tcPr>
            <w:tcW w:w="20" w:type="dxa"/>
            <w:tcBorders>
              <w:top w:val="single" w:sz="2" w:space="0" w:color="D4C5A9"/>
              <w:left w:val="nil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8016A7">
            <w:pPr>
              <w:spacing w:after="0"/>
              <w:ind w:left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616EFD" w:rsidRDefault="00616EFD" w:rsidP="00484B8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16EFD">
              <w:rPr>
                <w:rFonts w:ascii="Times New Roman" w:hAnsi="Times New Roman" w:cs="Times New Roman"/>
                <w:sz w:val="20"/>
                <w:szCs w:val="20"/>
              </w:rPr>
              <w:t xml:space="preserve">FDI momentum, digital penetration,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074D7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616EFD">
              <w:rPr>
                <w:rFonts w:ascii="Times New Roman" w:hAnsi="Times New Roman" w:cs="Times New Roman"/>
                <w:sz w:val="20"/>
                <w:szCs w:val="20"/>
              </w:rPr>
              <w:t>growth trajectory</w:t>
            </w:r>
          </w:p>
        </w:tc>
        <w:tc>
          <w:tcPr>
            <w:tcW w:w="2275" w:type="dxa"/>
            <w:tcBorders>
              <w:top w:val="single" w:sz="2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814EA6" w:rsidRDefault="00814EA6" w:rsidP="00484B8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814EA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814EA6">
              <w:rPr>
                <w:rFonts w:ascii="Times New Roman" w:hAnsi="Times New Roman" w:cs="Times New Roman"/>
                <w:sz w:val="20"/>
                <w:szCs w:val="20"/>
              </w:rPr>
              <w:t>0% equity allocation</w:t>
            </w:r>
          </w:p>
        </w:tc>
      </w:tr>
      <w:tr w:rsidR="00952E00" w:rsidRPr="00362EED" w:rsidTr="00952E00">
        <w:trPr>
          <w:trHeight w:val="567"/>
        </w:trPr>
        <w:tc>
          <w:tcPr>
            <w:tcW w:w="2121" w:type="dxa"/>
            <w:tcBorders>
              <w:top w:val="single" w:sz="2" w:space="0" w:color="D4C5A9"/>
              <w:left w:val="single" w:sz="2" w:space="0" w:color="D4C5A9"/>
              <w:bottom w:val="single" w:sz="4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362EED" w:rsidRDefault="00484B84">
            <w:pPr>
              <w:spacing w:after="0"/>
              <w:ind w:left="-14" w:right="-1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color w:val="0E0E10"/>
                <w:sz w:val="16"/>
              </w:rPr>
              <w:t xml:space="preserve">  </w:t>
            </w:r>
            <w:r w:rsidR="00A318F8" w:rsidRPr="00362EED">
              <w:rPr>
                <w:rFonts w:ascii="Times New Roman" w:eastAsia="Arial" w:hAnsi="Times New Roman" w:cs="Times New Roman"/>
                <w:color w:val="0E0E10"/>
                <w:sz w:val="16"/>
              </w:rPr>
              <w:t>Capital Preservation / Income</w:t>
            </w:r>
          </w:p>
        </w:tc>
        <w:tc>
          <w:tcPr>
            <w:tcW w:w="1517" w:type="dxa"/>
            <w:tcBorders>
              <w:top w:val="single" w:sz="2" w:space="0" w:color="D4C5A9"/>
              <w:left w:val="single" w:sz="2" w:space="0" w:color="D4C5A9"/>
              <w:bottom w:val="single" w:sz="4" w:space="0" w:color="D4C5A9"/>
              <w:right w:val="nil"/>
            </w:tcBorders>
            <w:shd w:val="clear" w:color="auto" w:fill="F5F2EC"/>
            <w:vAlign w:val="center"/>
          </w:tcPr>
          <w:p w:rsidR="008016A7" w:rsidRPr="00362EED" w:rsidRDefault="00A318F8">
            <w:pPr>
              <w:spacing w:after="0"/>
              <w:ind w:left="213"/>
              <w:jc w:val="center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1A6B3C"/>
                <w:sz w:val="17"/>
              </w:rPr>
              <w:t>Kenya</w:t>
            </w:r>
          </w:p>
        </w:tc>
        <w:tc>
          <w:tcPr>
            <w:tcW w:w="20" w:type="dxa"/>
            <w:tcBorders>
              <w:top w:val="single" w:sz="2" w:space="0" w:color="D4C5A9"/>
              <w:left w:val="nil"/>
              <w:bottom w:val="single" w:sz="4" w:space="0" w:color="D4C5A9"/>
              <w:right w:val="single" w:sz="2" w:space="0" w:color="D4C5A9"/>
            </w:tcBorders>
            <w:shd w:val="clear" w:color="auto" w:fill="F5F2EC"/>
          </w:tcPr>
          <w:p w:rsidR="008016A7" w:rsidRPr="00362EED" w:rsidRDefault="008016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25" w:type="dxa"/>
            <w:tcBorders>
              <w:top w:val="single" w:sz="2" w:space="0" w:color="D4C5A9"/>
              <w:left w:val="single" w:sz="2" w:space="0" w:color="D4C5A9"/>
              <w:bottom w:val="single" w:sz="4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14EA6" w:rsidRPr="00814EA6" w:rsidRDefault="00484B84" w:rsidP="00814EA6">
            <w:pPr>
              <w:spacing w:after="0"/>
              <w:ind w:left="-98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16"/>
              </w:rPr>
              <w:t xml:space="preserve">   </w:t>
            </w:r>
            <w:r w:rsidR="00A318F8" w:rsidRPr="00814EA6">
              <w:rPr>
                <w:rFonts w:ascii="Times New Roman" w:eastAsia="Arial" w:hAnsi="Times New Roman" w:cs="Times New Roman"/>
                <w:sz w:val="20"/>
                <w:szCs w:val="20"/>
              </w:rPr>
              <w:t>Macro sta</w:t>
            </w:r>
            <w:r w:rsidRPr="00814EA6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bility, low inflation, </w:t>
            </w:r>
          </w:p>
          <w:p w:rsidR="008016A7" w:rsidRPr="00814EA6" w:rsidRDefault="00074D79" w:rsidP="00814EA6">
            <w:pPr>
              <w:spacing w:after="0"/>
              <w:rPr>
                <w:rFonts w:ascii="Times New Roman" w:eastAsia="Arial" w:hAnsi="Times New Roman" w:cs="Times New Roman"/>
                <w:sz w:val="16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 w:rsidR="00814EA6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Consumer </w:t>
            </w:r>
            <w:r w:rsidR="00814EA6" w:rsidRPr="00814EA6">
              <w:rPr>
                <w:rFonts w:ascii="Times New Roman" w:eastAsia="Arial" w:hAnsi="Times New Roman" w:cs="Times New Roman"/>
                <w:sz w:val="20"/>
                <w:szCs w:val="20"/>
              </w:rPr>
              <w:t>momentum</w:t>
            </w:r>
            <w:r w:rsidR="00484B84">
              <w:rPr>
                <w:rFonts w:ascii="Times New Roman" w:eastAsia="Arial" w:hAnsi="Times New Roman" w:cs="Times New Roman"/>
                <w:sz w:val="16"/>
              </w:rPr>
              <w:t xml:space="preserve">     </w:t>
            </w:r>
          </w:p>
        </w:tc>
        <w:tc>
          <w:tcPr>
            <w:tcW w:w="2275" w:type="dxa"/>
            <w:tcBorders>
              <w:top w:val="single" w:sz="2" w:space="0" w:color="D4C5A9"/>
              <w:left w:val="single" w:sz="2" w:space="0" w:color="D4C5A9"/>
              <w:bottom w:val="single" w:sz="4" w:space="0" w:color="D4C5A9"/>
              <w:right w:val="single" w:sz="2" w:space="0" w:color="D4C5A9"/>
            </w:tcBorders>
            <w:shd w:val="clear" w:color="auto" w:fill="F5F2EC"/>
            <w:vAlign w:val="center"/>
          </w:tcPr>
          <w:p w:rsidR="008016A7" w:rsidRPr="00814EA6" w:rsidRDefault="00814EA6" w:rsidP="00484B8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814EA6">
              <w:rPr>
                <w:rFonts w:ascii="Times New Roman" w:hAnsi="Times New Roman" w:cs="Times New Roman"/>
                <w:sz w:val="20"/>
                <w:szCs w:val="20"/>
              </w:rPr>
              <w:t>40% equity allocation</w:t>
            </w:r>
          </w:p>
        </w:tc>
      </w:tr>
      <w:tr w:rsidR="00952E00" w:rsidRPr="00362EED" w:rsidTr="00952E00">
        <w:trPr>
          <w:trHeight w:val="567"/>
        </w:trPr>
        <w:tc>
          <w:tcPr>
            <w:tcW w:w="2121" w:type="dxa"/>
            <w:tcBorders>
              <w:top w:val="single" w:sz="4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left="102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color w:val="8A9BAE"/>
                <w:sz w:val="16"/>
              </w:rPr>
              <w:t>Institutional / Maturity Play</w:t>
            </w:r>
          </w:p>
        </w:tc>
        <w:tc>
          <w:tcPr>
            <w:tcW w:w="1517" w:type="dxa"/>
            <w:tcBorders>
              <w:top w:val="single" w:sz="4" w:space="0" w:color="D4C5A9"/>
              <w:left w:val="single" w:sz="2" w:space="0" w:color="D4C5A9"/>
              <w:bottom w:val="single" w:sz="2" w:space="0" w:color="D4C5A9"/>
              <w:right w:val="nil"/>
            </w:tcBorders>
            <w:shd w:val="clear" w:color="auto" w:fill="FAFAF8"/>
            <w:vAlign w:val="center"/>
          </w:tcPr>
          <w:p w:rsidR="008016A7" w:rsidRPr="00362EED" w:rsidRDefault="00A318F8">
            <w:pPr>
              <w:spacing w:after="0"/>
              <w:ind w:left="342"/>
              <w:rPr>
                <w:rFonts w:ascii="Times New Roman" w:hAnsi="Times New Roman" w:cs="Times New Roman"/>
              </w:rPr>
            </w:pPr>
            <w:r w:rsidRPr="00362EED">
              <w:rPr>
                <w:rFonts w:ascii="Times New Roman" w:eastAsia="Arial" w:hAnsi="Times New Roman" w:cs="Times New Roman"/>
                <w:b/>
                <w:color w:val="1B4F8A"/>
                <w:sz w:val="17"/>
              </w:rPr>
              <w:t>South Africa</w:t>
            </w:r>
          </w:p>
        </w:tc>
        <w:tc>
          <w:tcPr>
            <w:tcW w:w="20" w:type="dxa"/>
            <w:tcBorders>
              <w:top w:val="single" w:sz="4" w:space="0" w:color="D4C5A9"/>
              <w:left w:val="nil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016A7" w:rsidRPr="00362EED" w:rsidRDefault="008016A7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5" w:type="dxa"/>
            <w:tcBorders>
              <w:top w:val="single" w:sz="4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14EA6" w:rsidRPr="00074D79" w:rsidRDefault="00814EA6" w:rsidP="00484B84">
            <w:pPr>
              <w:spacing w:after="0"/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</w:pPr>
            <w:r w:rsidRPr="00814EA6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 xml:space="preserve">Market Depth, digital </w:t>
            </w:r>
            <w:r w:rsidR="00074D79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 xml:space="preserve"> </w:t>
            </w:r>
            <w:r w:rsidRPr="00814EA6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>infrastructure</w:t>
            </w:r>
            <w:r w:rsidRPr="00074D79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>,</w:t>
            </w:r>
            <w:r w:rsidR="00074D79" w:rsidRPr="00074D79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 xml:space="preserve"> </w:t>
            </w:r>
            <w:r w:rsidR="00074D79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 xml:space="preserve">  </w:t>
            </w:r>
            <w:r w:rsidR="00074D79" w:rsidRPr="00074D79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>institutional quality</w:t>
            </w:r>
            <w:r w:rsidRPr="00074D79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 xml:space="preserve"> </w:t>
            </w:r>
          </w:p>
        </w:tc>
        <w:tc>
          <w:tcPr>
            <w:tcW w:w="2275" w:type="dxa"/>
            <w:tcBorders>
              <w:top w:val="single" w:sz="4" w:space="0" w:color="D4C5A9"/>
              <w:left w:val="single" w:sz="2" w:space="0" w:color="D4C5A9"/>
              <w:bottom w:val="single" w:sz="2" w:space="0" w:color="D4C5A9"/>
              <w:right w:val="single" w:sz="2" w:space="0" w:color="D4C5A9"/>
            </w:tcBorders>
            <w:shd w:val="clear" w:color="auto" w:fill="FAFAF8"/>
            <w:vAlign w:val="center"/>
          </w:tcPr>
          <w:p w:rsidR="00814EA6" w:rsidRPr="00814EA6" w:rsidRDefault="00484B84" w:rsidP="00484B84">
            <w:pPr>
              <w:spacing w:after="0"/>
              <w:ind w:left="-433" w:right="-433"/>
              <w:jc w:val="center"/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</w:pPr>
            <w:r w:rsidRPr="00814EA6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 xml:space="preserve">Supplementary </w:t>
            </w:r>
            <w:r w:rsidR="00616EFD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>-</w:t>
            </w:r>
            <w:r w:rsidRPr="00814EA6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 xml:space="preserve"> manda</w:t>
            </w:r>
            <w:r w:rsidR="00814EA6" w:rsidRPr="00814EA6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 xml:space="preserve">te </w:t>
            </w:r>
          </w:p>
          <w:p w:rsidR="008016A7" w:rsidRPr="00362EED" w:rsidRDefault="00814EA6" w:rsidP="00484B84">
            <w:pPr>
              <w:spacing w:after="0"/>
              <w:ind w:left="-433" w:right="-433"/>
              <w:jc w:val="center"/>
              <w:rPr>
                <w:rFonts w:ascii="Times New Roman" w:hAnsi="Times New Roman" w:cs="Times New Roman"/>
              </w:rPr>
            </w:pPr>
            <w:r w:rsidRPr="00814EA6">
              <w:rPr>
                <w:rFonts w:ascii="Times New Roman" w:eastAsia="Arial" w:hAnsi="Times New Roman" w:cs="Times New Roman"/>
                <w:color w:val="8A9BAE"/>
                <w:sz w:val="20"/>
                <w:szCs w:val="20"/>
              </w:rPr>
              <w:t>dependent</w:t>
            </w:r>
          </w:p>
        </w:tc>
      </w:tr>
    </w:tbl>
    <w:p w:rsidR="005621A0" w:rsidRDefault="005621A0">
      <w:pPr>
        <w:spacing w:after="122"/>
        <w:ind w:right="-240"/>
        <w:rPr>
          <w:rFonts w:ascii="Times New Roman" w:hAnsi="Times New Roman" w:cs="Times New Roman"/>
        </w:rPr>
      </w:pPr>
    </w:p>
    <w:p w:rsidR="00575514" w:rsidRPr="005621A0" w:rsidRDefault="00A318F8" w:rsidP="005621A0">
      <w:pPr>
        <w:spacing w:after="122"/>
        <w:ind w:right="-240"/>
        <w:rPr>
          <w:rFonts w:ascii="Times New Roman" w:hAnsi="Times New Roman" w:cs="Times New Roman"/>
        </w:rPr>
      </w:pPr>
      <w:r w:rsidRPr="00362EED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5976001" cy="5080"/>
                <wp:effectExtent l="0" t="0" r="0" b="0"/>
                <wp:docPr id="8044" name="Group 8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5080"/>
                          <a:chOff x="0" y="0"/>
                          <a:chExt cx="5976001" cy="5080"/>
                        </a:xfrm>
                      </wpg:grpSpPr>
                      <wps:wsp>
                        <wps:cNvPr id="590" name="Shape 590"/>
                        <wps:cNvSpPr/>
                        <wps:spPr>
                          <a:xfrm>
                            <a:off x="0" y="0"/>
                            <a:ext cx="597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D4C5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44" style="width:470.551pt;height:0.4pt;mso-position-horizontal-relative:char;mso-position-vertical-relative:line" coordsize="59760,50">
                <v:shape id="Shape 590" style="position:absolute;width:59760;height:0;left:0;top:0;" coordsize="5976001,0" path="m0,0l5976001,0">
                  <v:stroke weight="0.4pt" endcap="flat" joinstyle="miter" miterlimit="10" on="true" color="#d4c5a9"/>
                  <v:fill on="false" color="#000000" opacity="0"/>
                </v:shape>
              </v:group>
            </w:pict>
          </mc:Fallback>
        </mc:AlternateContent>
      </w:r>
    </w:p>
    <w:p w:rsidR="008016A7" w:rsidRPr="00362EED" w:rsidRDefault="00A318F8">
      <w:pPr>
        <w:spacing w:after="0" w:line="306" w:lineRule="auto"/>
        <w:jc w:val="both"/>
        <w:rPr>
          <w:rFonts w:ascii="Times New Roman" w:hAnsi="Times New Roman" w:cs="Times New Roman"/>
        </w:rPr>
      </w:pPr>
      <w:r w:rsidRPr="00362EED">
        <w:rPr>
          <w:rFonts w:ascii="Times New Roman" w:eastAsia="Arial" w:hAnsi="Times New Roman" w:cs="Times New Roman"/>
          <w:b/>
          <w:color w:val="8A9BAE"/>
          <w:sz w:val="15"/>
        </w:rPr>
        <w:t>Disclaimer:</w:t>
      </w:r>
      <w:r w:rsidRPr="00362EED">
        <w:rPr>
          <w:rFonts w:ascii="Times New Roman" w:eastAsia="Arial" w:hAnsi="Times New Roman" w:cs="Times New Roman"/>
          <w:color w:val="8A9BAE"/>
          <w:sz w:val="15"/>
        </w:rPr>
        <w:t xml:space="preserve"> This memorandum is produced for academic and portfolio demonstration purposes. All analysis is based on publicly available data from the World Bank Open Data API, IMF Wo</w:t>
      </w:r>
      <w:r w:rsidR="00757B31">
        <w:rPr>
          <w:rFonts w:ascii="Times New Roman" w:eastAsia="Arial" w:hAnsi="Times New Roman" w:cs="Times New Roman"/>
          <w:color w:val="8A9BAE"/>
          <w:sz w:val="15"/>
        </w:rPr>
        <w:t>rld Economic Outlook April 2024</w:t>
      </w:r>
      <w:bookmarkStart w:id="0" w:name="_GoBack"/>
      <w:bookmarkEnd w:id="0"/>
      <w:r w:rsidRPr="00362EED">
        <w:rPr>
          <w:rFonts w:ascii="Times New Roman" w:eastAsia="Arial" w:hAnsi="Times New Roman" w:cs="Times New Roman"/>
          <w:color w:val="8A9BAE"/>
          <w:sz w:val="15"/>
        </w:rPr>
        <w:t xml:space="preserve"> and Google Trends. It does not constitute investment </w:t>
      </w:r>
      <w:r w:rsidRPr="00362EED">
        <w:rPr>
          <w:rFonts w:ascii="Times New Roman" w:eastAsia="Arial" w:hAnsi="Times New Roman" w:cs="Times New Roman"/>
          <w:color w:val="8A9BAE"/>
          <w:sz w:val="15"/>
        </w:rPr>
        <w:t>advice. Full methodology and reproducible code available on GitHub.</w:t>
      </w:r>
    </w:p>
    <w:sectPr w:rsidR="008016A7" w:rsidRPr="00362EED">
      <w:type w:val="continuous"/>
      <w:pgSz w:w="11906" w:h="16838"/>
      <w:pgMar w:top="1440" w:right="1367" w:bottom="1440" w:left="13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8F8" w:rsidRDefault="00A318F8">
      <w:pPr>
        <w:spacing w:after="0" w:line="240" w:lineRule="auto"/>
      </w:pPr>
      <w:r>
        <w:separator/>
      </w:r>
    </w:p>
  </w:endnote>
  <w:endnote w:type="continuationSeparator" w:id="0">
    <w:p w:rsidR="00A318F8" w:rsidRDefault="00A31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6A7" w:rsidRDefault="00A318F8">
    <w:pPr>
      <w:tabs>
        <w:tab w:val="right" w:pos="953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792000</wp:posOffset>
              </wp:positionH>
              <wp:positionV relativeFrom="page">
                <wp:posOffset>10044000</wp:posOffset>
              </wp:positionV>
              <wp:extent cx="5976000" cy="5080"/>
              <wp:effectExtent l="0" t="0" r="0" b="0"/>
              <wp:wrapSquare wrapText="bothSides"/>
              <wp:docPr id="9614" name="Group 9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5080"/>
                        <a:chOff x="0" y="0"/>
                        <a:chExt cx="5976000" cy="5080"/>
                      </a:xfrm>
                    </wpg:grpSpPr>
                    <wps:wsp>
                      <wps:cNvPr id="9615" name="Shape 9615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D4C5A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14" style="width:470.551pt;height:0.4pt;position:absolute;mso-position-horizontal-relative:page;mso-position-horizontal:absolute;margin-left:62.3622pt;mso-position-vertical-relative:page;margin-top:790.866pt;" coordsize="59760,50">
              <v:shape id="Shape 9615" style="position:absolute;width:59760;height:0;left:0;top:0;" coordsize="5976000,0" path="m0,0l5976000,0">
                <v:stroke weight="0.4pt" endcap="flat" joinstyle="miter" miterlimit="10" on="true" color="#d4c5a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A9BAE"/>
        <w:sz w:val="14"/>
      </w:rPr>
      <w:t>Mark Wema  |  Data Science &amp; Investment Analytics  |  Nairobi, Kenya  |  June 2026</w:t>
    </w:r>
    <w:r>
      <w:rPr>
        <w:rFonts w:ascii="Arial" w:eastAsia="Arial" w:hAnsi="Arial" w:cs="Arial"/>
        <w:color w:val="8A9BAE"/>
        <w:sz w:val="14"/>
      </w:rPr>
      <w:tab/>
      <w:t>Sources: World Bank API  |  IMF WEO 2024  |  Google Tr</w:t>
    </w:r>
    <w:r>
      <w:rPr>
        <w:rFonts w:ascii="Arial" w:eastAsia="Arial" w:hAnsi="Arial" w:cs="Arial"/>
        <w:color w:val="8A9BAE"/>
        <w:sz w:val="14"/>
      </w:rPr>
      <w:t>ends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6A7" w:rsidRDefault="00A318F8">
    <w:pPr>
      <w:tabs>
        <w:tab w:val="right" w:pos="953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792000</wp:posOffset>
              </wp:positionH>
              <wp:positionV relativeFrom="page">
                <wp:posOffset>10044000</wp:posOffset>
              </wp:positionV>
              <wp:extent cx="5976000" cy="5080"/>
              <wp:effectExtent l="0" t="0" r="0" b="0"/>
              <wp:wrapSquare wrapText="bothSides"/>
              <wp:docPr id="9592" name="Group 95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5080"/>
                        <a:chOff x="0" y="0"/>
                        <a:chExt cx="5976000" cy="5080"/>
                      </a:xfrm>
                    </wpg:grpSpPr>
                    <wps:wsp>
                      <wps:cNvPr id="9593" name="Shape 9593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D4C5A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92" style="width:470.551pt;height:0.4pt;position:absolute;mso-position-horizontal-relative:page;mso-position-horizontal:absolute;margin-left:62.3622pt;mso-position-vertical-relative:page;margin-top:790.866pt;" coordsize="59760,50">
              <v:shape id="Shape 9593" style="position:absolute;width:59760;height:0;left:0;top:0;" coordsize="5976000,0" path="m0,0l5976000,0">
                <v:stroke weight="0.4pt" endcap="flat" joinstyle="miter" miterlimit="10" on="true" color="#d4c5a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A9BAE"/>
        <w:sz w:val="14"/>
      </w:rPr>
      <w:t>Mark Wema  |  Data Science &amp; Investment Analytics  |  Nairobi, Kenya  |  June 2026</w:t>
    </w:r>
    <w:r>
      <w:rPr>
        <w:rFonts w:ascii="Arial" w:eastAsia="Arial" w:hAnsi="Arial" w:cs="Arial"/>
        <w:color w:val="8A9BAE"/>
        <w:sz w:val="14"/>
      </w:rPr>
      <w:tab/>
      <w:t>Sources: World Bank API  |  IMF WEO 2024  |  Google Trends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6A7" w:rsidRDefault="00A318F8">
    <w:pPr>
      <w:tabs>
        <w:tab w:val="right" w:pos="953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792000</wp:posOffset>
              </wp:positionH>
              <wp:positionV relativeFrom="page">
                <wp:posOffset>10044000</wp:posOffset>
              </wp:positionV>
              <wp:extent cx="5976000" cy="5080"/>
              <wp:effectExtent l="0" t="0" r="0" b="0"/>
              <wp:wrapSquare wrapText="bothSides"/>
              <wp:docPr id="9570" name="Group 95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5080"/>
                        <a:chOff x="0" y="0"/>
                        <a:chExt cx="5976000" cy="5080"/>
                      </a:xfrm>
                    </wpg:grpSpPr>
                    <wps:wsp>
                      <wps:cNvPr id="9571" name="Shape 9571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D4C5A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70" style="width:470.551pt;height:0.4pt;position:absolute;mso-position-horizontal-relative:page;mso-position-horizontal:absolute;margin-left:62.3622pt;mso-position-vertical-relative:page;margin-top:790.866pt;" coordsize="59760,50">
              <v:shape id="Shape 9571" style="position:absolute;width:59760;height:0;left:0;top:0;" coordsize="5976000,0" path="m0,0l5976000,0">
                <v:stroke weight="0.4pt" endcap="flat" joinstyle="miter" miterlimit="10" on="true" color="#d4c5a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A9BAE"/>
        <w:sz w:val="14"/>
      </w:rPr>
      <w:t>Mark Wema  |  Data Science &amp; Investment Analytics  |  Nairobi, Kenya  |  June 2026</w:t>
    </w:r>
    <w:r>
      <w:rPr>
        <w:rFonts w:ascii="Arial" w:eastAsia="Arial" w:hAnsi="Arial" w:cs="Arial"/>
        <w:color w:val="8A9BAE"/>
        <w:sz w:val="14"/>
      </w:rPr>
      <w:tab/>
      <w:t xml:space="preserve">Sources: World Bank API </w:t>
    </w:r>
    <w:r>
      <w:rPr>
        <w:rFonts w:ascii="Arial" w:eastAsia="Arial" w:hAnsi="Arial" w:cs="Arial"/>
        <w:color w:val="8A9BAE"/>
        <w:sz w:val="14"/>
      </w:rPr>
      <w:t xml:space="preserve"> |  IMF WEO 2024  |  Google Trends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8F8" w:rsidRDefault="00A318F8">
      <w:pPr>
        <w:spacing w:after="0" w:line="240" w:lineRule="auto"/>
      </w:pPr>
      <w:r>
        <w:separator/>
      </w:r>
    </w:p>
  </w:footnote>
  <w:footnote w:type="continuationSeparator" w:id="0">
    <w:p w:rsidR="00A318F8" w:rsidRDefault="00A31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6A7" w:rsidRDefault="00A318F8">
    <w:pPr>
      <w:tabs>
        <w:tab w:val="right" w:pos="953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792000</wp:posOffset>
              </wp:positionH>
              <wp:positionV relativeFrom="page">
                <wp:posOffset>467999</wp:posOffset>
              </wp:positionV>
              <wp:extent cx="5976000" cy="19050"/>
              <wp:effectExtent l="0" t="0" r="0" b="0"/>
              <wp:wrapSquare wrapText="bothSides"/>
              <wp:docPr id="9604" name="Group 9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9050"/>
                        <a:chOff x="0" y="0"/>
                        <a:chExt cx="5976000" cy="19050"/>
                      </a:xfrm>
                    </wpg:grpSpPr>
                    <wps:wsp>
                      <wps:cNvPr id="9605" name="Shape 9605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B8912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04" style="width:470.551pt;height:1.5pt;position:absolute;mso-position-horizontal-relative:page;mso-position-horizontal:absolute;margin-left:62.3622pt;mso-position-vertical-relative:page;margin-top:36.8503pt;" coordsize="59760,190">
              <v:shape id="Shape 9605" style="position:absolute;width:59760;height:0;left:0;top:0;" coordsize="5976000,0" path="m0,0l5976000,0">
                <v:stroke weight="1.5pt" endcap="flat" joinstyle="miter" miterlimit="10" on="true" color="#b8912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A9BAE"/>
        <w:sz w:val="14"/>
      </w:rPr>
      <w:t>CONFIDENTIAL — FOR INVESTMENT COMMITTEE USE</w:t>
    </w:r>
    <w:r>
      <w:rPr>
        <w:rFonts w:ascii="Arial" w:eastAsia="Arial" w:hAnsi="Arial" w:cs="Arial"/>
        <w:color w:val="8A9BAE"/>
        <w:sz w:val="14"/>
      </w:rPr>
      <w:tab/>
      <w:t xml:space="preserve">African Sovereign Investment </w:t>
    </w:r>
    <w:r w:rsidR="00074D79">
      <w:rPr>
        <w:rFonts w:ascii="Arial" w:eastAsia="Arial" w:hAnsi="Arial" w:cs="Arial"/>
        <w:color w:val="8A9BAE"/>
        <w:sz w:val="14"/>
      </w:rPr>
      <w:t>Analysis | Page</w:t>
    </w:r>
    <w:r>
      <w:rPr>
        <w:rFonts w:ascii="Arial" w:eastAsia="Arial" w:hAnsi="Arial" w:cs="Arial"/>
        <w:color w:val="8A9BAE"/>
        <w:sz w:val="14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A9BAE"/>
        <w:sz w:val="14"/>
      </w:rPr>
      <w:t>1</w:t>
    </w:r>
    <w:r>
      <w:rPr>
        <w:rFonts w:ascii="Arial" w:eastAsia="Arial" w:hAnsi="Arial" w:cs="Arial"/>
        <w:color w:val="8A9BAE"/>
        <w:sz w:val="14"/>
      </w:rPr>
      <w:fldChar w:fldCharType="end"/>
    </w:r>
    <w:r>
      <w:rPr>
        <w:rFonts w:ascii="Arial" w:eastAsia="Arial" w:hAnsi="Arial" w:cs="Arial"/>
        <w:color w:val="8A9BAE"/>
        <w:sz w:val="14"/>
      </w:rPr>
      <w:t xml:space="preserve"> of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6A7" w:rsidRDefault="00A318F8">
    <w:pPr>
      <w:tabs>
        <w:tab w:val="right" w:pos="953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792000</wp:posOffset>
              </wp:positionH>
              <wp:positionV relativeFrom="page">
                <wp:posOffset>467999</wp:posOffset>
              </wp:positionV>
              <wp:extent cx="5976000" cy="19050"/>
              <wp:effectExtent l="0" t="0" r="0" b="0"/>
              <wp:wrapSquare wrapText="bothSides"/>
              <wp:docPr id="9582" name="Group 95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9050"/>
                        <a:chOff x="0" y="0"/>
                        <a:chExt cx="5976000" cy="19050"/>
                      </a:xfrm>
                    </wpg:grpSpPr>
                    <wps:wsp>
                      <wps:cNvPr id="9583" name="Shape 9583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B8912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82" style="width:470.551pt;height:1.5pt;position:absolute;mso-position-horizontal-relative:page;mso-position-horizontal:absolute;margin-left:62.3622pt;mso-position-vertical-relative:page;margin-top:36.8503pt;" coordsize="59760,190">
              <v:shape id="Shape 9583" style="position:absolute;width:59760;height:0;left:0;top:0;" coordsize="5976000,0" path="m0,0l5976000,0">
                <v:stroke weight="1.5pt" endcap="flat" joinstyle="miter" miterlimit="10" on="true" color="#b8912a"/>
                <v:fill on="false" color="#000000" opacity="0"/>
              </v:shape>
              <w10:wrap type="square"/>
            </v:group>
          </w:pict>
        </mc:Fallback>
      </mc:AlternateContent>
    </w:r>
    <w:r w:rsidR="00362EED">
      <w:rPr>
        <w:rFonts w:ascii="Arial" w:eastAsia="Arial" w:hAnsi="Arial" w:cs="Arial"/>
        <w:color w:val="8A9BAE"/>
        <w:sz w:val="14"/>
      </w:rPr>
      <w:t xml:space="preserve">CONFIDENTIAL - </w:t>
    </w:r>
    <w:r>
      <w:rPr>
        <w:rFonts w:ascii="Arial" w:eastAsia="Arial" w:hAnsi="Arial" w:cs="Arial"/>
        <w:color w:val="8A9BAE"/>
        <w:sz w:val="14"/>
      </w:rPr>
      <w:t>FOR INVESTMENT COMMITTEE USE</w:t>
    </w:r>
    <w:r>
      <w:rPr>
        <w:rFonts w:ascii="Arial" w:eastAsia="Arial" w:hAnsi="Arial" w:cs="Arial"/>
        <w:color w:val="8A9BAE"/>
        <w:sz w:val="14"/>
      </w:rPr>
      <w:tab/>
      <w:t>African</w:t>
    </w:r>
    <w:r w:rsidR="007C7C4F">
      <w:rPr>
        <w:rFonts w:ascii="Arial" w:eastAsia="Arial" w:hAnsi="Arial" w:cs="Arial"/>
        <w:color w:val="8A9BAE"/>
        <w:sz w:val="14"/>
      </w:rPr>
      <w:t xml:space="preserve"> Sovereign Investment Analysis | </w:t>
    </w:r>
    <w:r>
      <w:rPr>
        <w:rFonts w:ascii="Arial" w:eastAsia="Arial" w:hAnsi="Arial" w:cs="Arial"/>
        <w:color w:val="8A9BAE"/>
        <w:sz w:val="1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57B31" w:rsidRPr="00757B31">
      <w:rPr>
        <w:rFonts w:ascii="Arial" w:eastAsia="Arial" w:hAnsi="Arial" w:cs="Arial"/>
        <w:noProof/>
        <w:color w:val="8A9BAE"/>
        <w:sz w:val="14"/>
      </w:rPr>
      <w:t>3</w:t>
    </w:r>
    <w:r>
      <w:rPr>
        <w:rFonts w:ascii="Arial" w:eastAsia="Arial" w:hAnsi="Arial" w:cs="Arial"/>
        <w:color w:val="8A9BAE"/>
        <w:sz w:val="14"/>
      </w:rPr>
      <w:fldChar w:fldCharType="end"/>
    </w:r>
    <w:r w:rsidR="00362EED">
      <w:rPr>
        <w:rFonts w:ascii="Arial" w:eastAsia="Arial" w:hAnsi="Arial" w:cs="Arial"/>
        <w:color w:val="8A9BAE"/>
        <w:sz w:val="14"/>
      </w:rPr>
      <w:t xml:space="preserve"> of </w:t>
    </w:r>
    <w:r w:rsidR="005621A0">
      <w:rPr>
        <w:rFonts w:ascii="Arial" w:eastAsia="Arial" w:hAnsi="Arial" w:cs="Arial"/>
        <w:color w:val="8A9BAE"/>
        <w:sz w:val="14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6A7" w:rsidRDefault="00A318F8">
    <w:pPr>
      <w:tabs>
        <w:tab w:val="right" w:pos="953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792000</wp:posOffset>
              </wp:positionH>
              <wp:positionV relativeFrom="page">
                <wp:posOffset>467999</wp:posOffset>
              </wp:positionV>
              <wp:extent cx="5976000" cy="19050"/>
              <wp:effectExtent l="0" t="0" r="0" b="0"/>
              <wp:wrapSquare wrapText="bothSides"/>
              <wp:docPr id="9560" name="Group 9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9050"/>
                        <a:chOff x="0" y="0"/>
                        <a:chExt cx="5976000" cy="19050"/>
                      </a:xfrm>
                    </wpg:grpSpPr>
                    <wps:wsp>
                      <wps:cNvPr id="9561" name="Shape 9561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B8912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60" style="width:470.551pt;height:1.5pt;position:absolute;mso-position-horizontal-relative:page;mso-position-horizontal:absolute;margin-left:62.3622pt;mso-position-vertical-relative:page;margin-top:36.8503pt;" coordsize="59760,190">
              <v:shape id="Shape 9561" style="position:absolute;width:59760;height:0;left:0;top:0;" coordsize="5976000,0" path="m0,0l5976000,0">
                <v:stroke weight="1.5pt" endcap="flat" joinstyle="miter" miterlimit="10" on="true" color="#b8912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A9BAE"/>
        <w:sz w:val="14"/>
      </w:rPr>
      <w:t>CONFID</w:t>
    </w:r>
    <w:r>
      <w:rPr>
        <w:rFonts w:ascii="Arial" w:eastAsia="Arial" w:hAnsi="Arial" w:cs="Arial"/>
        <w:color w:val="8A9BAE"/>
        <w:sz w:val="14"/>
      </w:rPr>
      <w:t>ENTIAL — FOR INVESTMENT COMMITTEE USE</w:t>
    </w:r>
    <w:r>
      <w:rPr>
        <w:rFonts w:ascii="Arial" w:eastAsia="Arial" w:hAnsi="Arial" w:cs="Arial"/>
        <w:color w:val="8A9BAE"/>
        <w:sz w:val="14"/>
      </w:rPr>
      <w:tab/>
      <w:t xml:space="preserve">African Sovereign Investment </w:t>
    </w:r>
    <w:r w:rsidR="00074D79">
      <w:rPr>
        <w:rFonts w:ascii="Arial" w:eastAsia="Arial" w:hAnsi="Arial" w:cs="Arial"/>
        <w:color w:val="8A9BAE"/>
        <w:sz w:val="14"/>
      </w:rPr>
      <w:t>Analysis | Page</w:t>
    </w:r>
    <w:r>
      <w:rPr>
        <w:rFonts w:ascii="Arial" w:eastAsia="Arial" w:hAnsi="Arial" w:cs="Arial"/>
        <w:color w:val="8A9BAE"/>
        <w:sz w:val="14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A9BAE"/>
        <w:sz w:val="14"/>
      </w:rPr>
      <w:t>1</w:t>
    </w:r>
    <w:r>
      <w:rPr>
        <w:rFonts w:ascii="Arial" w:eastAsia="Arial" w:hAnsi="Arial" w:cs="Arial"/>
        <w:color w:val="8A9BAE"/>
        <w:sz w:val="14"/>
      </w:rPr>
      <w:fldChar w:fldCharType="end"/>
    </w:r>
    <w:r>
      <w:rPr>
        <w:rFonts w:ascii="Arial" w:eastAsia="Arial" w:hAnsi="Arial" w:cs="Arial"/>
        <w:color w:val="8A9BAE"/>
        <w:sz w:val="14"/>
      </w:rPr>
      <w:t xml:space="preserve"> of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358A4"/>
    <w:multiLevelType w:val="hybridMultilevel"/>
    <w:tmpl w:val="C3D44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85011"/>
    <w:multiLevelType w:val="hybridMultilevel"/>
    <w:tmpl w:val="D9A63098"/>
    <w:lvl w:ilvl="0" w:tplc="C76E608C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A1A5416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B6881C4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1C4DA88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1BA51DE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18C1D20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6DEFFEC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3C6BF6A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2AEEB4E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CF1BD8"/>
    <w:multiLevelType w:val="hybridMultilevel"/>
    <w:tmpl w:val="E3EA3D3C"/>
    <w:lvl w:ilvl="0" w:tplc="AB207D5C">
      <w:start w:val="1"/>
      <w:numFmt w:val="bullet"/>
      <w:lvlText w:val="•"/>
      <w:lvlJc w:val="left"/>
      <w:pPr>
        <w:ind w:left="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2FEDA80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98ADFCE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7C8B2DC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4B44492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04A3832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CCA78E2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9AE7446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A0EF8CC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0E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6A7"/>
    <w:rsid w:val="00074D79"/>
    <w:rsid w:val="0011109F"/>
    <w:rsid w:val="00362EED"/>
    <w:rsid w:val="00484B84"/>
    <w:rsid w:val="004E186A"/>
    <w:rsid w:val="005228D6"/>
    <w:rsid w:val="005621A0"/>
    <w:rsid w:val="00575514"/>
    <w:rsid w:val="00602B74"/>
    <w:rsid w:val="00616EFD"/>
    <w:rsid w:val="00757B31"/>
    <w:rsid w:val="007C7C4F"/>
    <w:rsid w:val="008016A7"/>
    <w:rsid w:val="00814EA6"/>
    <w:rsid w:val="00952E00"/>
    <w:rsid w:val="00A318F8"/>
    <w:rsid w:val="00C92526"/>
    <w:rsid w:val="00D9333B"/>
    <w:rsid w:val="00F4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EF95"/>
  <w15:docId w15:val="{2F5A8E12-C6BF-4DC9-AB0D-E175593D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2"/>
      <w:ind w:left="10" w:hanging="10"/>
      <w:outlineLvl w:val="0"/>
    </w:pPr>
    <w:rPr>
      <w:rFonts w:ascii="Times New Roman" w:eastAsia="Times New Roman" w:hAnsi="Times New Roman" w:cs="Times New Roman"/>
      <w:b/>
      <w:color w:val="0E0E1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7" w:line="265" w:lineRule="auto"/>
      <w:ind w:left="36" w:hanging="10"/>
      <w:outlineLvl w:val="1"/>
    </w:pPr>
    <w:rPr>
      <w:rFonts w:ascii="Arial" w:eastAsia="Arial" w:hAnsi="Arial" w:cs="Arial"/>
      <w:b/>
      <w:color w:val="1B3A6B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B3A6B"/>
      <w:sz w:val="1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E0E1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16E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African Sovereign Investment Analysis</vt:lpstr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African Sovereign Investment Analysis</dc:title>
  <dc:subject>(unspecified)</dc:subject>
  <dc:creator>Mark Wema</dc:creator>
  <cp:keywords/>
  <cp:lastModifiedBy>Admin</cp:lastModifiedBy>
  <cp:revision>15</cp:revision>
  <dcterms:created xsi:type="dcterms:W3CDTF">2026-06-09T15:37:00Z</dcterms:created>
  <dcterms:modified xsi:type="dcterms:W3CDTF">2026-06-09T16:16:00Z</dcterms:modified>
</cp:coreProperties>
</file>