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Dokumentation der Fragebogenerstellung:</w:t>
        <w:br/>
        <w:t>KI-Readiness von Mitarbeitenden</w:t>
      </w:r>
    </w:p>
    <w:p>
      <w:pPr>
        <w:spacing w:after="320"/>
      </w:pPr>
      <w:r>
        <w:rPr>
          <w:i/>
          <w:color w:val="4B6B94"/>
          <w:sz w:val="24"/>
        </w:rPr>
        <w:t>Vollständiger Verlauf der Entwicklung, theoretical grounding, Fragebogenversionen V1 &amp; V2 sowie wiederverwendbare Leitlinien</w:t>
      </w:r>
    </w:p>
    <w:p>
      <w:pPr>
        <w:keepNext/>
        <w:spacing w:before="320" w:after="120"/>
      </w:pPr>
      <w:r>
        <w:rPr>
          <w:b/>
          <w:color w:val="1B365D"/>
          <w:sz w:val="30"/>
        </w:rPr>
        <w:t>1. Kontext und Problemstellung</w:t>
      </w:r>
    </w:p>
    <w:p>
      <w:r>
        <w:t xml:space="preserve">Diese Dokumentation fasst den gesamten Entwicklungs- und Revisionsprozess zur Erstellung eines theoriegeleiteten Fragebogens zur </w:t>
      </w:r>
      <w:r>
        <w:rPr>
          <w:b/>
        </w:rPr>
        <w:t>KI-Readiness von Mitarbeitenden</w:t>
      </w:r>
      <w:r>
        <w:t xml:space="preserve"> im Rahmen einer Hausarbeit im Praxisseminar zusammen. Der Anwendungsfall betrifft Organisationen, die vor oder während der Einführung generativer KI (GenAI, z. B. ChatGPT, LLMs) einschätzen möchten, wie ihre Beschäftigten ihre persönlichen Voraussetzungen, Einstellungen und ihre Nutzungsabsicht beurteilen.</w:t>
      </w:r>
    </w:p>
    <w:tbl>
      <w:tblPr>
        <w:tblW w:type="auto" w:w="0"/>
        <w:jc w:val="center"/>
        <w:tblLayout w:type="fixed"/>
        <w:tblLook w:firstColumn="1" w:firstRow="1" w:lastColumn="0" w:lastRow="0" w:noHBand="0" w:noVBand="1" w:val="04A0"/>
      </w:tblPr>
      <w:tblGrid>
        <w:gridCol w:w="10080"/>
      </w:tblGrid>
      <w:tr>
        <w:tc>
          <w:tcPr>
            <w:tcW w:type="dxa" w:w="10080"/>
            <w:shd w:fill="F2F4F7" w:val="clear"/>
            <w:tcMar>
              <w:top w:w="120" w:type="dxa"/>
              <w:bottom w:w="120" w:type="dxa"/>
              <w:left w:w="180" w:type="dxa"/>
              <w:right w:w="180" w:type="dxa"/>
            </w:tcMar>
            <w:tcBorders>
              <w:left w:val="single" w:sz="24" w:space="0" w:color="1B365D"/>
              <w:top w:val="none"/>
              <w:bottom w:val="none"/>
              <w:right w:val="none"/>
            </w:tcBorders>
          </w:tcPr>
          <w:p>
            <w:pPr>
              <w:spacing w:after="40"/>
            </w:pPr>
            <w:r>
              <w:rPr>
                <w:b/>
                <w:color w:val="1B365D"/>
                <w:sz w:val="21"/>
              </w:rPr>
              <w:t>Fokus der Befragung</w:t>
              <w:br/>
            </w:r>
            <w:r>
              <w:rPr>
                <w:color w:val="222222"/>
                <w:sz w:val="20"/>
              </w:rPr>
              <w:t>Gegenstand des Fragebogens ist ausschließlich die subjektive Selbsteinschätzung der Mitarbeitenden bezüglich beruflicher Aufgaben wie Textentwürfe erstellen, Informationen zusammenfassen und Ideen finden. Es handelt sich weder um einen objektiven Leistungs-/Wissenstest noch um die Erfassung organisationaler Rahmenbedingungen.</w:t>
            </w:r>
          </w:p>
        </w:tc>
      </w:tr>
    </w:tbl>
    <w:p>
      <w:pPr>
        <w:spacing w:after="80"/>
      </w:pPr>
    </w:p>
    <w:p>
      <w:pPr>
        <w:keepNext/>
        <w:spacing w:before="240" w:after="80"/>
      </w:pPr>
      <w:r>
        <w:rPr>
          <w:b/>
          <w:color w:val="4B6B94"/>
          <w:sz w:val="25"/>
        </w:rPr>
        <w:t>1.1 Definition der KI-Readiness von Mitarbeitenden</w:t>
      </w:r>
    </w:p>
    <w:p>
      <w:r>
        <w:t>Basierend auf den im Notizbuch hinterlegten Quellen wird KI-Readiness auf der individuellen Beschäftigtenebene wie folgt definiert:</w:t>
        <w:br/>
      </w:r>
    </w:p>
    <w:p>
      <w:pPr>
        <w:ind w:left="360"/>
      </w:pPr>
      <w:r>
        <w:rPr>
          <w:i/>
          <w:sz w:val="21"/>
        </w:rPr>
        <w:t>„KI-Readiness von Mitarbeitenden beschreibt die subjektiv wahrgenommene Bereitschaft und Befähigung von Beschäftigten, generative KI-Systeme zielgerichtet, kompetent und reflektiert in ihren beruflichen Arbeitsabläufen einzusetzen. Sie umfasst die Überzeugung, GenAI-Tools praktisch bedienen zu können (Anwendungskompetenz), deren Funktionsweise, Grenzen und Ergebnisse kritisch beurteilen zu können (Ergebnis- und Funktionsverständnis), mit Risiken wie Datenschutz und ethischen Implikationen verantwortungsvoll umzugehen sowie neue Entwicklungen eigenständig durch Problemlösung und Weiterbildung zu bewältigen (Lern- und Problemlöse-Selbstwirksamkeit).“</w:t>
      </w:r>
    </w:p>
    <w:p>
      <w:pPr>
        <w:keepNext/>
        <w:spacing w:before="240" w:after="80"/>
      </w:pPr>
      <w:r>
        <w:rPr>
          <w:b/>
          <w:color w:val="4B6B94"/>
          <w:sz w:val="25"/>
        </w:rPr>
        <w:t>1.2 Theoretische Fundierung</w:t>
      </w:r>
    </w:p>
    <w:p>
      <w:r>
        <w:t>Die Ausarbeitung greift auf etablierte Theorien, Frameworks und Skalen aus der wissenschaftlichen Literatur zurück:</w:t>
      </w:r>
    </w:p>
    <w:p>
      <w:pPr>
        <w:pStyle w:val="ListBullet"/>
      </w:pPr>
      <w:r>
        <w:rPr>
          <w:b/>
        </w:rPr>
        <w:t xml:space="preserve">Theory of Planned Behavior (TPB) &amp; Reasoned Action Approach (Ajzen, 1985; Fishbein &amp; Ajzen, 2010): </w:t>
      </w:r>
      <w:r>
        <w:t>Erklärt die Nutzungsabsicht über Verhaltenskontrolle (Selbstwirksamkeit), Einstellung und Normen (Wichmann et al., 2024, 2025; Paetow et al., 2026).</w:t>
      </w:r>
    </w:p>
    <w:p>
      <w:pPr>
        <w:pStyle w:val="ListBullet"/>
      </w:pPr>
      <w:r>
        <w:rPr>
          <w:b/>
        </w:rPr>
        <w:t xml:space="preserve">Social Cognitive Theory &amp; Selbstwirksamkeitskonzept (Bandura, 1997): </w:t>
      </w:r>
      <w:r>
        <w:t>Subjektive Can-Do-Beliefs bestimmen das tatsächliche Nutzungsverhalten stärker als objektives Wissen (Carolus et al., 2023).</w:t>
      </w:r>
    </w:p>
    <w:p>
      <w:pPr>
        <w:pStyle w:val="ListBullet"/>
      </w:pPr>
      <w:r>
        <w:rPr>
          <w:b/>
        </w:rPr>
        <w:t xml:space="preserve">Modell organisationalen Vertrauens (Mayer, Davis &amp; Schoorman, 1995): </w:t>
      </w:r>
      <w:r>
        <w:t>Vertrauen als Willingness to Rely auf Basis von Ability, Benevolence und Integrity (Do Khac et al., 2025).</w:t>
      </w:r>
    </w:p>
    <w:p>
      <w:pPr>
        <w:pStyle w:val="ListBullet"/>
      </w:pPr>
      <w:r>
        <w:rPr>
          <w:b/>
        </w:rPr>
        <w:t xml:space="preserve">Meta AI Literacy Scale (MAILS) (Carolus et al., 2023): </w:t>
      </w:r>
      <w:r>
        <w:t>Psychometrisch geprüfte Skalen zur Messung von AI Literacy, AI Self-Efficacy und AI Ethics.</w:t>
      </w:r>
    </w:p>
    <w:p>
      <w:pPr>
        <w:keepNext/>
        <w:spacing w:before="320" w:after="120"/>
      </w:pPr>
      <w:r>
        <w:rPr>
          <w:b/>
          <w:color w:val="1B365D"/>
          <w:sz w:val="30"/>
        </w:rPr>
        <w:t>2. Abgrenzung und methodische Klarstellungen</w:t>
      </w:r>
    </w:p>
    <w:p>
      <w:r>
        <w:t>Während der Entwicklung wurden wesentliche methodische Abgrenzungen vorgenommen, um eine theoretisch und empirisch saubere Fragebogenkonstruktion zu gewährleisten:</w:t>
      </w:r>
    </w:p>
    <w:p>
      <w:pPr>
        <w:keepNext/>
        <w:spacing w:before="240" w:after="80"/>
      </w:pPr>
      <w:r>
        <w:rPr>
          <w:b/>
          <w:color w:val="4B6B94"/>
          <w:sz w:val="25"/>
        </w:rPr>
        <w:t>2.1 Differenzierung: Theorie vs. Framework vs. Skala</w:t>
      </w:r>
    </w:p>
    <w:p>
      <w:r>
        <w:t>In der wissenschaftlichen Praxis müssen drei Ebenen strikt getrennt werden: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3360"/>
        <w:gridCol w:w="3360"/>
        <w:gridCol w:w="3360"/>
      </w:tblGrid>
      <w:tr>
        <w:trPr>
          <w:tblHeader/>
        </w:trPr>
        <w:tc>
          <w:tcPr>
            <w:tcW w:type="dxa" w:w="2160"/>
            <w:shd w:fill="1B365D" w:val="clear"/>
            <w:tcMar>
              <w:top w:w="100" w:type="dxa"/>
              <w:bottom w:w="100" w:type="dxa"/>
              <w:left w:w="120" w:type="dxa"/>
              <w:right w:w="120" w:type="dxa"/>
            </w:tcMar>
          </w:tcPr>
          <w:p>
            <w:pPr>
              <w:jc w:val="left"/>
            </w:pPr>
            <w:r>
              <w:rPr>
                <w:b/>
                <w:color w:val="FFFFFF"/>
                <w:sz w:val="20"/>
              </w:rPr>
              <w:t>Kategorie</w:t>
            </w:r>
          </w:p>
        </w:tc>
        <w:tc>
          <w:tcPr>
            <w:tcW w:type="dxa" w:w="3312"/>
            <w:shd w:fill="1B365D" w:val="clear"/>
            <w:tcMar>
              <w:top w:w="100" w:type="dxa"/>
              <w:bottom w:w="100" w:type="dxa"/>
              <w:left w:w="120" w:type="dxa"/>
              <w:right w:w="120" w:type="dxa"/>
            </w:tcMar>
          </w:tcPr>
          <w:p>
            <w:pPr>
              <w:jc w:val="left"/>
            </w:pPr>
            <w:r>
              <w:rPr>
                <w:b/>
                <w:color w:val="FFFFFF"/>
                <w:sz w:val="20"/>
              </w:rPr>
              <w:t>Definition</w:t>
            </w:r>
          </w:p>
        </w:tc>
        <w:tc>
          <w:tcPr>
            <w:tcW w:type="dxa" w:w="4608"/>
            <w:shd w:fill="1B365D" w:val="clear"/>
            <w:tcMar>
              <w:top w:w="100" w:type="dxa"/>
              <w:bottom w:w="100" w:type="dxa"/>
              <w:left w:w="120" w:type="dxa"/>
              <w:right w:w="120" w:type="dxa"/>
            </w:tcMar>
          </w:tcPr>
          <w:p>
            <w:pPr>
              <w:jc w:val="left"/>
            </w:pPr>
            <w:r>
              <w:rPr>
                <w:b/>
                <w:color w:val="FFFFFF"/>
                <w:sz w:val="20"/>
              </w:rPr>
              <w:t>Beispiel aus den Quellen</w:t>
            </w:r>
          </w:p>
        </w:tc>
      </w:tr>
      <w:tr>
        <w:trPr>
          <w:cantSplit/>
        </w:trPr>
        <w:tc>
          <w:tcPr>
            <w:tcW w:type="dxa" w:w="2160"/>
            <w:shd w:fill="F2F4F7" w:val="clear"/>
            <w:tcMar>
              <w:top w:w="80" w:type="dxa"/>
              <w:bottom w:w="80" w:type="dxa"/>
              <w:left w:w="120" w:type="dxa"/>
              <w:right w:w="120" w:type="dxa"/>
            </w:tcMar>
          </w:tcPr>
          <w:p>
            <w:r>
              <w:rPr>
                <w:b/>
                <w:sz w:val="19"/>
              </w:rPr>
              <w:t>Theorie</w:t>
            </w:r>
          </w:p>
        </w:tc>
        <w:tc>
          <w:tcPr>
            <w:tcW w:type="dxa" w:w="3312"/>
            <w:shd w:fill="F2F4F7" w:val="clear"/>
            <w:tcMar>
              <w:top w:w="80" w:type="dxa"/>
              <w:bottom w:w="80" w:type="dxa"/>
              <w:left w:w="120" w:type="dxa"/>
              <w:right w:w="120" w:type="dxa"/>
            </w:tcMar>
          </w:tcPr>
          <w:p>
            <w:r>
              <w:rPr>
                <w:sz w:val="19"/>
              </w:rPr>
              <w:t>Erklärendes Kausalmodell über Zusammenhänge zwischen Konstrukten und Verhalten.</w:t>
            </w:r>
          </w:p>
        </w:tc>
        <w:tc>
          <w:tcPr>
            <w:tcW w:type="dxa" w:w="4608"/>
            <w:shd w:fill="F2F4F7" w:val="clear"/>
            <w:tcMar>
              <w:top w:w="80" w:type="dxa"/>
              <w:bottom w:w="80" w:type="dxa"/>
              <w:left w:w="120" w:type="dxa"/>
              <w:right w:w="120" w:type="dxa"/>
            </w:tcMar>
          </w:tcPr>
          <w:p>
            <w:r>
              <w:rPr>
                <w:sz w:val="19"/>
              </w:rPr>
              <w:t>Theory of Planned Behavior (Ajzen, 1985); Vertrauensmodell (Mayer et al., 1995)</w:t>
            </w:r>
          </w:p>
        </w:tc>
      </w:tr>
      <w:tr>
        <w:trPr>
          <w:cantSplit/>
        </w:trPr>
        <w:tc>
          <w:tcPr>
            <w:tcW w:type="dxa" w:w="2160"/>
            <w:shd w:fill="FFFFFF" w:val="clear"/>
            <w:tcMar>
              <w:top w:w="80" w:type="dxa"/>
              <w:bottom w:w="80" w:type="dxa"/>
              <w:left w:w="120" w:type="dxa"/>
              <w:right w:w="120" w:type="dxa"/>
            </w:tcMar>
          </w:tcPr>
          <w:p>
            <w:r>
              <w:rPr>
                <w:b/>
                <w:sz w:val="19"/>
              </w:rPr>
              <w:t>Framework</w:t>
            </w:r>
          </w:p>
        </w:tc>
        <w:tc>
          <w:tcPr>
            <w:tcW w:type="dxa" w:w="3312"/>
            <w:shd w:fill="FFFFFF" w:val="clear"/>
            <w:tcMar>
              <w:top w:w="80" w:type="dxa"/>
              <w:bottom w:w="80" w:type="dxa"/>
              <w:left w:w="120" w:type="dxa"/>
              <w:right w:w="120" w:type="dxa"/>
            </w:tcMar>
          </w:tcPr>
          <w:p>
            <w:r>
              <w:rPr>
                <w:sz w:val="19"/>
              </w:rPr>
              <w:t>Konzeptionelles oder didaktisches Strukturierungsraster zur Einteilung von Bereichen.</w:t>
            </w:r>
          </w:p>
        </w:tc>
        <w:tc>
          <w:tcPr>
            <w:tcW w:type="dxa" w:w="4608"/>
            <w:shd w:fill="FFFFFF" w:val="clear"/>
            <w:tcMar>
              <w:top w:w="80" w:type="dxa"/>
              <w:bottom w:w="80" w:type="dxa"/>
              <w:left w:w="120" w:type="dxa"/>
              <w:right w:w="120" w:type="dxa"/>
            </w:tcMar>
          </w:tcPr>
          <w:p>
            <w:r>
              <w:rPr>
                <w:sz w:val="19"/>
              </w:rPr>
              <w:t>Blooms Taxonomie (Ng et al., 2021); 7-Step EThICAL (Luckin et al., 2022); TOE (Jöhnk et al., 2021)</w:t>
            </w:r>
          </w:p>
        </w:tc>
      </w:tr>
      <w:tr>
        <w:trPr>
          <w:cantSplit/>
        </w:trPr>
        <w:tc>
          <w:tcPr>
            <w:tcW w:type="dxa" w:w="2160"/>
            <w:shd w:fill="F2F4F7" w:val="clear"/>
            <w:tcMar>
              <w:top w:w="80" w:type="dxa"/>
              <w:bottom w:w="80" w:type="dxa"/>
              <w:left w:w="120" w:type="dxa"/>
              <w:right w:w="120" w:type="dxa"/>
            </w:tcMar>
          </w:tcPr>
          <w:p>
            <w:r>
              <w:rPr>
                <w:b/>
                <w:sz w:val="19"/>
              </w:rPr>
              <w:t>Skala</w:t>
            </w:r>
          </w:p>
        </w:tc>
        <w:tc>
          <w:tcPr>
            <w:tcW w:type="dxa" w:w="3312"/>
            <w:shd w:fill="F2F4F7" w:val="clear"/>
            <w:tcMar>
              <w:top w:w="80" w:type="dxa"/>
              <w:bottom w:w="80" w:type="dxa"/>
              <w:left w:w="120" w:type="dxa"/>
              <w:right w:w="120" w:type="dxa"/>
            </w:tcMar>
          </w:tcPr>
          <w:p>
            <w:r>
              <w:rPr>
                <w:sz w:val="19"/>
              </w:rPr>
              <w:t>Zusammenstellung von Aussagen zur Messung eines bestimmten Merkmals.</w:t>
            </w:r>
          </w:p>
        </w:tc>
        <w:tc>
          <w:tcPr>
            <w:tcW w:type="dxa" w:w="4608"/>
            <w:shd w:fill="F2F4F7" w:val="clear"/>
            <w:tcMar>
              <w:top w:w="80" w:type="dxa"/>
              <w:bottom w:w="80" w:type="dxa"/>
              <w:left w:w="120" w:type="dxa"/>
              <w:right w:w="120" w:type="dxa"/>
            </w:tcMar>
          </w:tcPr>
          <w:p>
            <w:r>
              <w:rPr>
                <w:sz w:val="19"/>
              </w:rPr>
              <w:t>MAILS (Carolus et al., 2023); Questionnaires 1–4 (Datensatz_v1)</w:t>
            </w:r>
          </w:p>
        </w:tc>
      </w:tr>
    </w:tbl>
    <w:p>
      <w:pPr>
        <w:spacing w:after="80"/>
      </w:pPr>
    </w:p>
    <w:p>
      <w:pPr>
        <w:keepNext/>
        <w:spacing w:before="240" w:after="80"/>
      </w:pPr>
      <w:r>
        <w:rPr>
          <w:b/>
          <w:color w:val="4B6B94"/>
          <w:sz w:val="25"/>
        </w:rPr>
        <w:t>2.2 Methodische Kernkorrekturen</w:t>
      </w:r>
    </w:p>
    <w:p>
      <w:pPr>
        <w:pStyle w:val="ListBullet"/>
      </w:pPr>
      <w:r>
        <w:rPr>
          <w:b/>
        </w:rPr>
        <w:t xml:space="preserve">Datenschutzvertrauen ≠ Datenschutzkompetenz: </w:t>
      </w:r>
      <w:r>
        <w:t>Die Items D1–D3 aus Questionnaire 4 (Do Khac et al., 2025) erfassen die wahrgenommene Systemintegrität (Sicherheit vor Datenweitergabe durch Dritte). Sie messen nicht, ob der Mitarbeitende selbst Datenschutzregeln einhält. Fehlt hierzu eine validierte Skala, wird dies als Lücke ausgewiesen.</w:t>
      </w:r>
    </w:p>
    <w:p>
      <w:pPr>
        <w:pStyle w:val="ListBullet"/>
      </w:pPr>
      <w:r>
        <w:rPr>
          <w:b/>
        </w:rPr>
        <w:t xml:space="preserve">Vertrauen ≠ Kontrollverzicht: </w:t>
      </w:r>
      <w:r>
        <w:t>Vertrauen darf nicht mit dem Verzicht auf menschliche Kontrolle gleichgesetzt werden (wie teils in Questionnaire 4, T1/T3). Im Arbeitsalltag erfordert GenAI zwingend die menschliche Letztverantwortung (Human-in-the-Loop). Vertrauen bezieht sich auf die Verlässlichkeit der Ergebnisse und die Bereitschaft zur Stützung auf Zuarbeit (Willingness to rely).</w:t>
      </w:r>
    </w:p>
    <w:p>
      <w:pPr>
        <w:pStyle w:val="ListBullet"/>
      </w:pPr>
      <w:r>
        <w:rPr>
          <w:b/>
        </w:rPr>
        <w:t xml:space="preserve">Nutzungsabsicht (Items I1–I3): </w:t>
      </w:r>
      <w:r>
        <w:t>Items I1–I3 aus Questionnaire 4 messen die abhängige Zielvariable (Nutzungsabsicht) und keinesfalls die praktische Anwendungskompetenz.</w:t>
      </w:r>
    </w:p>
    <w:p>
      <w:pPr>
        <w:pStyle w:val="ListBullet"/>
      </w:pPr>
      <w:r>
        <w:rPr>
          <w:b/>
        </w:rPr>
        <w:t xml:space="preserve">Kein Gesamtwert: </w:t>
      </w:r>
      <w:r>
        <w:t>Die sechs Bereiche dürfen nicht zu einem ungewichteten Readiness-Gesamtwert aufsummiert werden, da sie aus unterschiedlichen theoretischen Modellen stammen.</w:t>
      </w:r>
    </w:p>
    <w:p>
      <w:pPr>
        <w:keepNext/>
        <w:spacing w:before="320" w:after="120"/>
      </w:pPr>
      <w:r>
        <w:rPr>
          <w:b/>
          <w:color w:val="1B365D"/>
          <w:sz w:val="30"/>
        </w:rPr>
        <w:t>3. Fragebogenentwurf Version 1 (V1)</w:t>
      </w:r>
    </w:p>
    <w:p>
      <w:r>
        <w:t>In der ersten Iteration wurde ein Entwurf mit 18 Aussagen über 6 Bereiche erstellt. Nachfolgend ist der ursprüngliche Stand V1 dokumentiert.</w:t>
      </w:r>
    </w:p>
    <w:p>
      <w:pPr>
        <w:keepNext/>
        <w:spacing w:before="240" w:after="80"/>
      </w:pPr>
      <w:r>
        <w:rPr>
          <w:b/>
          <w:color w:val="4B6B94"/>
          <w:sz w:val="25"/>
        </w:rPr>
        <w:t>3.1 Einleitungstext und Antwortskala V1</w:t>
      </w:r>
    </w:p>
    <w:tbl>
      <w:tblPr>
        <w:tblW w:type="auto" w:w="0"/>
        <w:jc w:val="center"/>
        <w:tblLayout w:type="fixed"/>
        <w:tblLook w:firstColumn="1" w:firstRow="1" w:lastColumn="0" w:lastRow="0" w:noHBand="0" w:noVBand="1" w:val="04A0"/>
      </w:tblPr>
      <w:tblGrid>
        <w:gridCol w:w="10080"/>
      </w:tblGrid>
      <w:tr>
        <w:tc>
          <w:tcPr>
            <w:tcW w:type="dxa" w:w="10080"/>
            <w:shd w:fill="F2F4F7" w:val="clear"/>
            <w:tcMar>
              <w:top w:w="120" w:type="dxa"/>
              <w:bottom w:w="120" w:type="dxa"/>
              <w:left w:w="180" w:type="dxa"/>
              <w:right w:w="180" w:type="dxa"/>
            </w:tcMar>
            <w:tcBorders>
              <w:left w:val="single" w:sz="24" w:space="0" w:color="1B365D"/>
              <w:top w:val="none"/>
              <w:bottom w:val="none"/>
              <w:right w:val="none"/>
            </w:tcBorders>
          </w:tcPr>
          <w:p>
            <w:pPr>
              <w:spacing w:after="40"/>
            </w:pPr>
            <w:r>
              <w:rPr>
                <w:b/>
                <w:color w:val="1B365D"/>
                <w:sz w:val="21"/>
              </w:rPr>
              <w:t>Einleitung V1 (Auszug)</w:t>
              <w:br/>
            </w:r>
            <w:r>
              <w:rPr>
                <w:color w:val="222222"/>
                <w:sz w:val="20"/>
              </w:rPr>
              <w:t>Liebe Kolleginnen und Kollegen,</w:t>
              <w:br/>
              <w:t>generative KI bietet neue Möglichkeiten, alltägliche Aufgaben zu unterstützen. Mit dieser Befragung möchten wir erfahren, wie Sie persönlich Ihre Voraussetzungen und Einstellungen einschätzen. Es handelt sich nicht um einen Wissenstest. Die Auswertung erfolgt vertraulich.</w:t>
              <w:br/>
              <w:br/>
              <w:t>Antwortskala: 1 = stimme überhaupt nicht zu, 2 = stimme eher nicht zu, 3 = stimme weder zu noch nicht zu, 4 = stimme eher zu, 5 = stimme vollständig zu | [k. B.] = kann ich nicht beurteilen.</w:t>
            </w:r>
          </w:p>
        </w:tc>
      </w:tr>
    </w:tbl>
    <w:p>
      <w:pPr>
        <w:spacing w:after="80"/>
      </w:pPr>
    </w:p>
    <w:p>
      <w:pPr>
        <w:keepNext/>
        <w:spacing w:before="240" w:after="80"/>
      </w:pPr>
      <w:r>
        <w:rPr>
          <w:b/>
          <w:color w:val="4B6B94"/>
          <w:sz w:val="25"/>
        </w:rPr>
        <w:t>3.2 Die 18 Aussagen von Fragebogen V1</w:t>
      </w:r>
    </w:p>
    <w:p>
      <w:pPr>
        <w:keepNext/>
        <w:spacing w:before="160" w:after="40"/>
      </w:pPr>
      <w:r>
        <w:rPr>
          <w:b/>
          <w:color w:val="222222"/>
          <w:sz w:val="22"/>
        </w:rPr>
        <w:t>Bereich 1: Praktische Anwendung</w:t>
      </w:r>
    </w:p>
    <w:p>
      <w:pPr>
        <w:spacing w:after="40"/>
        <w:ind w:left="288"/>
      </w:pPr>
      <w:r>
        <w:rPr>
          <w:b/>
          <w:color w:val="4B6B94"/>
        </w:rPr>
        <w:t xml:space="preserve">[A1] </w:t>
      </w:r>
      <w:r>
        <w:t>Ich kann generative KI bedienen, um meine alltäglichen Arbeitsaufgaben zu erleichtern.</w:t>
      </w:r>
    </w:p>
    <w:p>
      <w:pPr>
        <w:spacing w:after="40"/>
        <w:ind w:left="288"/>
      </w:pPr>
      <w:r>
        <w:rPr>
          <w:b/>
          <w:color w:val="4B6B94"/>
        </w:rPr>
        <w:t xml:space="preserve">[A2] </w:t>
      </w:r>
      <w:r>
        <w:t>Ich kann gezielte Eingaben (Prompts) formulieren, um brauchbare Ergebnisse für meine Arbeitsaufgaben zu erhalten.</w:t>
      </w:r>
    </w:p>
    <w:p>
      <w:pPr>
        <w:spacing w:after="40"/>
        <w:ind w:left="288"/>
      </w:pPr>
      <w:r>
        <w:rPr>
          <w:b/>
          <w:color w:val="4B6B94"/>
        </w:rPr>
        <w:t xml:space="preserve">[A3] </w:t>
      </w:r>
      <w:r>
        <w:t>Ich kann generative KI gezielt zur Unterstützung bei der Entwicklung neuer Ideen einsetzen.</w:t>
      </w:r>
    </w:p>
    <w:p>
      <w:pPr>
        <w:keepNext/>
        <w:spacing w:before="160" w:after="40"/>
      </w:pPr>
      <w:r>
        <w:rPr>
          <w:b/>
          <w:color w:val="222222"/>
          <w:sz w:val="22"/>
        </w:rPr>
        <w:t>Bereich 2: Kritische Beurteilung</w:t>
      </w:r>
    </w:p>
    <w:p>
      <w:pPr>
        <w:spacing w:after="40"/>
        <w:ind w:left="288"/>
      </w:pPr>
      <w:r>
        <w:rPr>
          <w:b/>
          <w:color w:val="4B6B94"/>
        </w:rPr>
        <w:t xml:space="preserve">[B1] </w:t>
      </w:r>
      <w:r>
        <w:t>Ich kann einschätzen, welche fachlichen Grenzen der Einsatz generativer KI bei meinen Arbeitsaufgaben hat.</w:t>
      </w:r>
    </w:p>
    <w:p>
      <w:pPr>
        <w:spacing w:after="40"/>
        <w:ind w:left="288"/>
      </w:pPr>
      <w:r>
        <w:rPr>
          <w:b/>
          <w:color w:val="4B6B94"/>
        </w:rPr>
        <w:t xml:space="preserve">[B2] </w:t>
      </w:r>
      <w:r>
        <w:t>Ich kann nachvollziehen, ob die von generativer KI erzeugten Ergebnisse inhaltlich richtig sind.</w:t>
      </w:r>
    </w:p>
    <w:p>
      <w:pPr>
        <w:spacing w:after="40"/>
        <w:ind w:left="288"/>
      </w:pPr>
      <w:r>
        <w:rPr>
          <w:b/>
          <w:color w:val="4B6B94"/>
        </w:rPr>
        <w:t xml:space="preserve">[B3] </w:t>
      </w:r>
      <w:r>
        <w:t>Ich kann beurteilen, bei welchen meiner beruflichen Aufgaben der Einsatz generativer KI konkrete Vorteile bringt.</w:t>
      </w:r>
    </w:p>
    <w:p>
      <w:pPr>
        <w:keepNext/>
        <w:spacing w:before="160" w:after="40"/>
      </w:pPr>
      <w:r>
        <w:rPr>
          <w:b/>
          <w:color w:val="222222"/>
          <w:sz w:val="22"/>
        </w:rPr>
        <w:t>Bereich 3: Lern- &amp; Problemlöse-Selbstwirksamkeit</w:t>
      </w:r>
    </w:p>
    <w:p>
      <w:pPr>
        <w:spacing w:after="40"/>
        <w:ind w:left="288"/>
      </w:pPr>
      <w:r>
        <w:rPr>
          <w:b/>
          <w:color w:val="4B6B94"/>
        </w:rPr>
        <w:t xml:space="preserve">[L1] </w:t>
      </w:r>
      <w:r>
        <w:t>Ich kann die meisten Probleme bei der Nutzung generativer KI eigenständig lösen.</w:t>
      </w:r>
    </w:p>
    <w:p>
      <w:pPr>
        <w:spacing w:after="40"/>
        <w:ind w:left="288"/>
      </w:pPr>
      <w:r>
        <w:rPr>
          <w:b/>
          <w:color w:val="4B6B94"/>
        </w:rPr>
        <w:t xml:space="preserve">[L2] </w:t>
      </w:r>
      <w:r>
        <w:t>Ich traue mir zu, mich selbstständig in neue Versionen oder Funktionen generativer KI einzuarbeiten.</w:t>
      </w:r>
    </w:p>
    <w:p>
      <w:pPr>
        <w:spacing w:after="40"/>
        <w:ind w:left="288"/>
      </w:pPr>
      <w:r>
        <w:rPr>
          <w:b/>
          <w:color w:val="4B6B94"/>
        </w:rPr>
        <w:t xml:space="preserve">[L3] </w:t>
      </w:r>
      <w:r>
        <w:t>Auch bei unerwarteten oder unpassenden Antworten der KI finde ich selbst einen Weg, um zu einem brauchbaren Arbeitsergebnis zu gelangen.</w:t>
      </w:r>
    </w:p>
    <w:p>
      <w:pPr>
        <w:keepNext/>
        <w:spacing w:before="160" w:after="40"/>
      </w:pPr>
      <w:r>
        <w:rPr>
          <w:b/>
          <w:color w:val="222222"/>
          <w:sz w:val="22"/>
        </w:rPr>
        <w:t>Bereich 4: Vertrauen in die KI</w:t>
      </w:r>
    </w:p>
    <w:p>
      <w:pPr>
        <w:spacing w:after="40"/>
        <w:ind w:left="288"/>
      </w:pPr>
      <w:r>
        <w:rPr>
          <w:b/>
          <w:color w:val="4B6B94"/>
        </w:rPr>
        <w:t xml:space="preserve">[V1] </w:t>
      </w:r>
      <w:r>
        <w:t>Ich vertraue den inhaltlichen Antworten und Textentwürfen von generativer KI.</w:t>
      </w:r>
    </w:p>
    <w:p>
      <w:pPr>
        <w:spacing w:after="40"/>
        <w:ind w:left="288"/>
      </w:pPr>
      <w:r>
        <w:rPr>
          <w:b/>
          <w:color w:val="4B6B94"/>
        </w:rPr>
        <w:t xml:space="preserve">[V2] </w:t>
      </w:r>
      <w:r>
        <w:t>Ich empfinde generative KI als ein verlässliches Hilfsmittel für meine beruflichen Aufgaben.</w:t>
      </w:r>
    </w:p>
    <w:p>
      <w:pPr>
        <w:spacing w:after="40"/>
        <w:ind w:left="288"/>
      </w:pPr>
      <w:r>
        <w:rPr>
          <w:b/>
          <w:color w:val="4B6B94"/>
        </w:rPr>
        <w:t xml:space="preserve">[V3] </w:t>
      </w:r>
      <w:r>
        <w:t>Ich bin bereit, mich bei der Bearbeitung meiner Arbeitsaufgaben auf die Zuarbeit generativer KI zu stützen.</w:t>
      </w:r>
    </w:p>
    <w:p>
      <w:pPr>
        <w:keepNext/>
        <w:spacing w:before="160" w:after="40"/>
      </w:pPr>
      <w:r>
        <w:rPr>
          <w:b/>
          <w:color w:val="222222"/>
          <w:sz w:val="22"/>
        </w:rPr>
        <w:t>Bereich 5: Ethische Beurteilungsfähigkeit</w:t>
      </w:r>
    </w:p>
    <w:p>
      <w:pPr>
        <w:spacing w:after="40"/>
        <w:ind w:left="288"/>
      </w:pPr>
      <w:r>
        <w:rPr>
          <w:b/>
          <w:color w:val="4B6B94"/>
        </w:rPr>
        <w:t xml:space="preserve">[E1] </w:t>
      </w:r>
      <w:r>
        <w:t>Ich kann ethische Überlegungen einbeziehen, wenn ich entscheide, ob ich von einer generativen KI erstellte Inhalte für meine Arbeit weiterverwende.</w:t>
      </w:r>
    </w:p>
    <w:p>
      <w:pPr>
        <w:spacing w:after="40"/>
        <w:ind w:left="288"/>
      </w:pPr>
      <w:r>
        <w:rPr>
          <w:b/>
          <w:color w:val="4B6B94"/>
        </w:rPr>
        <w:t xml:space="preserve">[E2] </w:t>
      </w:r>
      <w:r>
        <w:t>Ich kann die gesellschaftlichen Folgen der Nutzung generativer KI einschätzen.</w:t>
      </w:r>
    </w:p>
    <w:p>
      <w:pPr>
        <w:spacing w:after="40"/>
        <w:ind w:left="288"/>
      </w:pPr>
      <w:r>
        <w:rPr>
          <w:b/>
          <w:color w:val="4B6B94"/>
        </w:rPr>
        <w:t xml:space="preserve">[E3] </w:t>
      </w:r>
      <w:r>
        <w:t>Ich kann beurteilen, ob von einer generativen KI erzeugte Texte Vorurteile oder einseitige Darstellungen enthalten.</w:t>
      </w:r>
    </w:p>
    <w:p>
      <w:pPr>
        <w:keepNext/>
        <w:spacing w:before="160" w:after="40"/>
      </w:pPr>
      <w:r>
        <w:rPr>
          <w:b/>
          <w:color w:val="222222"/>
          <w:sz w:val="22"/>
        </w:rPr>
        <w:t>Bereich 6: Nutzungsabsicht</w:t>
      </w:r>
    </w:p>
    <w:p>
      <w:pPr>
        <w:spacing w:after="40"/>
        <w:ind w:left="288"/>
      </w:pPr>
      <w:r>
        <w:rPr>
          <w:b/>
          <w:color w:val="4B6B94"/>
        </w:rPr>
        <w:t xml:space="preserve">[N1] </w:t>
      </w:r>
      <w:r>
        <w:t>Ich beabsichtige, generative KI künftig für meine Aufgaben einzusetzen.</w:t>
      </w:r>
    </w:p>
    <w:p>
      <w:pPr>
        <w:spacing w:after="40"/>
        <w:ind w:left="288"/>
      </w:pPr>
      <w:r>
        <w:rPr>
          <w:b/>
          <w:color w:val="4B6B94"/>
        </w:rPr>
        <w:t xml:space="preserve">[N2] </w:t>
      </w:r>
      <w:r>
        <w:t>Ich plane, generative KI für meine Aufgaben zu nutzen.</w:t>
      </w:r>
    </w:p>
    <w:p>
      <w:pPr>
        <w:spacing w:after="40"/>
        <w:ind w:left="288"/>
      </w:pPr>
      <w:r>
        <w:rPr>
          <w:b/>
          <w:color w:val="4B6B94"/>
        </w:rPr>
        <w:t xml:space="preserve">[N3] </w:t>
      </w:r>
      <w:r>
        <w:t>Wenn mir generative KI an meinem Arbeitsplatz zur Verfügung steht, werde ich sie für meine Aufgaben einsetzen.</w:t>
      </w:r>
    </w:p>
    <w:p>
      <w:pPr>
        <w:keepNext/>
        <w:spacing w:before="320" w:after="120"/>
      </w:pPr>
      <w:r>
        <w:rPr>
          <w:b/>
          <w:color w:val="1B365D"/>
          <w:sz w:val="30"/>
        </w:rPr>
        <w:t>4. Kritische Revision und Fragebogen Version 2 (V2)</w:t>
      </w:r>
    </w:p>
    <w:p>
      <w:r>
        <w:t>In der Revisionsphase wurden folgende gezielte Optimierungen vorgenommen, um den Fragebogen wissenschaftlich präziser und methodisch einwandfrei zu gestalten:</w:t>
      </w:r>
    </w:p>
    <w:p>
      <w:pPr>
        <w:pStyle w:val="ListBullet"/>
      </w:pPr>
      <w:r>
        <w:rPr>
          <w:b/>
        </w:rPr>
        <w:t xml:space="preserve">Präzisierung des Ziels: </w:t>
      </w:r>
      <w:r>
        <w:t>Keine unbegründete Behauptung, organisationale Rahmenbedingungen zu messen; Vertraulichkeitsversprechen entfernt, da Erhebungsprozess noch offen ist.</w:t>
      </w:r>
    </w:p>
    <w:p>
      <w:pPr>
        <w:pStyle w:val="ListBullet"/>
      </w:pPr>
      <w:r>
        <w:rPr>
          <w:b/>
        </w:rPr>
        <w:t xml:space="preserve">Vereinfachung V1: </w:t>
      </w:r>
      <w:r>
        <w:t>Fokussierung rein auf den Vertrauensgegenstand: „Ich vertraue den Ergebnissen generativer KI.“</w:t>
      </w:r>
    </w:p>
    <w:p>
      <w:pPr>
        <w:pStyle w:val="ListBullet"/>
      </w:pPr>
      <w:r>
        <w:rPr>
          <w:b/>
        </w:rPr>
        <w:t xml:space="preserve">Schärfung E1–E3: </w:t>
      </w:r>
      <w:r>
        <w:t>E1 vereinfacht; E2 von abstrakten gesellschaftlichen Folgen auf konkrete Auswirkungen des beruflichen Einsatzes für andere Menschen präzisiert.</w:t>
      </w:r>
    </w:p>
    <w:p>
      <w:pPr>
        <w:pStyle w:val="ListBullet"/>
      </w:pPr>
      <w:r>
        <w:rPr>
          <w:b/>
        </w:rPr>
        <w:t xml:space="preserve">Bedingte Absicht bei N3: </w:t>
      </w:r>
      <w:r>
        <w:t>Wiederherstellung der Konjunktiv-Formulierung des Originals („wäre ... würde ich einsetzen“).</w:t>
      </w:r>
    </w:p>
    <w:p>
      <w:pPr>
        <w:pStyle w:val="ListBullet"/>
      </w:pPr>
      <w:r>
        <w:rPr>
          <w:b/>
        </w:rPr>
        <w:t xml:space="preserve">Quellen- und Skalenkorrekturen: </w:t>
      </w:r>
      <w:r>
        <w:t>Datierung des PowerPilot-Papers auf 2025; Zuordnung von V2 zu Item 5(1) (reliable); transparente Ausweisungen von Format- und Stufenwechseln (z. B. MAILS 11 -&gt; 5 Stufen).</w:t>
      </w:r>
    </w:p>
    <w:p>
      <w:pPr>
        <w:keepNext/>
        <w:spacing w:before="240" w:after="80"/>
      </w:pPr>
      <w:r>
        <w:rPr>
          <w:b/>
          <w:color w:val="4B6B94"/>
          <w:sz w:val="25"/>
        </w:rPr>
        <w:t>4.1 Vollständiger Fragebogen V2</w:t>
      </w:r>
    </w:p>
    <w:tbl>
      <w:tblPr>
        <w:tblW w:type="auto" w:w="0"/>
        <w:jc w:val="center"/>
        <w:tblLayout w:type="fixed"/>
        <w:tblLook w:firstColumn="1" w:firstRow="1" w:lastColumn="0" w:lastRow="0" w:noHBand="0" w:noVBand="1" w:val="04A0"/>
      </w:tblPr>
      <w:tblGrid>
        <w:gridCol w:w="10080"/>
      </w:tblGrid>
      <w:tr>
        <w:tc>
          <w:tcPr>
            <w:tcW w:type="dxa" w:w="10080"/>
            <w:shd w:fill="F2F4F7" w:val="clear"/>
            <w:tcMar>
              <w:top w:w="120" w:type="dxa"/>
              <w:bottom w:w="120" w:type="dxa"/>
              <w:left w:w="180" w:type="dxa"/>
              <w:right w:w="180" w:type="dxa"/>
            </w:tcMar>
            <w:tcBorders>
              <w:left w:val="single" w:sz="24" w:space="0" w:color="1B365D"/>
              <w:top w:val="none"/>
              <w:bottom w:val="none"/>
              <w:right w:val="none"/>
            </w:tcBorders>
          </w:tcPr>
          <w:p>
            <w:pPr>
              <w:spacing w:after="40"/>
            </w:pPr>
            <w:r>
              <w:rPr>
                <w:b/>
                <w:color w:val="1B365D"/>
                <w:sz w:val="21"/>
              </w:rPr>
              <w:t>Einleitung und Antwortskala V2</w:t>
              <w:br/>
            </w:r>
            <w:r>
              <w:rPr>
                <w:color w:val="222222"/>
                <w:sz w:val="20"/>
              </w:rPr>
              <w:t>Liebe Kolleginnen und Kollegen,</w:t>
              <w:br/>
              <w:br/>
              <w:t>generative Künstliche Intelligenz (wie z. B. ChatGPT oder vergleichbare Text- und Sprachassistenten) bietet vielfältige Möglichkeiten, alltägliche berufliche Aufgaben zu unterstützen – beispielsweise beim Erstellen von Textentwürfen, beim Zusammenfassen von Informationen oder bei der Ideenfindung.</w:t>
              <w:br/>
              <w:br/>
              <w:t>Mit diesem Fragebogen möchten wir erfahren, wie Sie persönlich Ihre Voraussetzungen, Ihr Zutrauen und Ihre Einstellungen im Umgang mit generativer KI einschätzen und ob Sie beabsichtigen, solche Werkzeuge bei Ihren beruflichen Aufgaben einzusetzen. Es handelt sich hierbei nicht um einen Wissenstest, sondern um Ihre persönliche Selbsteinschätzung. Es gibt keine richtigen oder falschen Antworten.</w:t>
              <w:br/>
              <w:br/>
              <w:t>Bitte beurteilen Sie die folgenden Aussagen anhand der vorgegebenen Skala. Wenn Sie einen Aspekt nicht beurteilen können oder dazu keine Einschätzung abgeben möchten, wählen Sie bitte die Option „kann ich nicht beurteilen“.</w:t>
              <w:br/>
              <w:br/>
              <w:t>Antwortskala:</w:t>
              <w:br/>
              <w:t>1 = stimme überhaupt nicht zu  |  2 = stimme eher nicht zu  |  3 = stimme weder zu noch nicht zu</w:t>
              <w:br/>
              <w:t>4 = stimme eher zu  |  5 = stimme vollständig zu  |  [k. B.] = kann ich nicht beurteilen (ohne Zahlenwert)</w:t>
            </w:r>
          </w:p>
        </w:tc>
      </w:tr>
    </w:tbl>
    <w:p>
      <w:pPr>
        <w:spacing w:after="80"/>
      </w:pPr>
    </w:p>
    <w:p>
      <w:pPr>
        <w:keepNext/>
        <w:spacing w:before="160" w:after="40"/>
      </w:pPr>
      <w:r>
        <w:rPr>
          <w:b/>
          <w:color w:val="222222"/>
          <w:sz w:val="22"/>
        </w:rPr>
        <w:t>Bereich 1: Praktische Anwendung</w:t>
      </w:r>
    </w:p>
    <w:p>
      <w:pPr>
        <w:spacing w:after="60"/>
        <w:ind w:left="288"/>
      </w:pPr>
      <w:r>
        <w:rPr>
          <w:b/>
          <w:color w:val="1B365D"/>
        </w:rPr>
        <w:t xml:space="preserve">[A1] </w:t>
      </w:r>
      <w:r>
        <w:t>Ich kann generative KI bedienen, um meine alltäglichen Arbeitsaufgaben zu erleichtern.</w:t>
      </w:r>
    </w:p>
    <w:p>
      <w:pPr>
        <w:spacing w:after="60"/>
        <w:ind w:left="288"/>
      </w:pPr>
      <w:r>
        <w:rPr>
          <w:b/>
          <w:color w:val="1B365D"/>
        </w:rPr>
        <w:t xml:space="preserve">[A2] </w:t>
      </w:r>
      <w:r>
        <w:t>Ich kann gezielte Eingaben (Prompts) formulieren, um brauchbare Ergebnisse für meine Arbeitsaufgaben zu erhalten.</w:t>
      </w:r>
    </w:p>
    <w:p>
      <w:pPr>
        <w:spacing w:after="60"/>
        <w:ind w:left="288"/>
      </w:pPr>
      <w:r>
        <w:rPr>
          <w:b/>
          <w:color w:val="1B365D"/>
        </w:rPr>
        <w:t xml:space="preserve">[A3] </w:t>
      </w:r>
      <w:r>
        <w:t>Ich kann generative KI gezielt zur Unterstützung bei der Entwicklung neuer Ideen einsetzen.</w:t>
      </w:r>
    </w:p>
    <w:p>
      <w:pPr>
        <w:keepNext/>
        <w:spacing w:before="160" w:after="40"/>
      </w:pPr>
      <w:r>
        <w:rPr>
          <w:b/>
          <w:color w:val="222222"/>
          <w:sz w:val="22"/>
        </w:rPr>
        <w:t>Bereich 2: Kritische Beurteilung von Möglichkeiten, Grenzen und Ergebnissen</w:t>
      </w:r>
    </w:p>
    <w:p>
      <w:pPr>
        <w:spacing w:after="60"/>
        <w:ind w:left="288"/>
      </w:pPr>
      <w:r>
        <w:rPr>
          <w:b/>
          <w:color w:val="1B365D"/>
        </w:rPr>
        <w:t xml:space="preserve">[B1] </w:t>
      </w:r>
      <w:r>
        <w:t>Ich kann einschätzen, welche fachlichen Grenzen der Einsatz generativer KI bei meinen Arbeitsaufgaben hat.</w:t>
      </w:r>
    </w:p>
    <w:p>
      <w:pPr>
        <w:spacing w:after="60"/>
        <w:ind w:left="288"/>
      </w:pPr>
      <w:r>
        <w:rPr>
          <w:b/>
          <w:color w:val="1B365D"/>
        </w:rPr>
        <w:t xml:space="preserve">[B2] </w:t>
      </w:r>
      <w:r>
        <w:t>Ich kann nachvollziehen, ob die von generativer KI erzeugten Ergebnisse inhaltlich richtig sind.</w:t>
      </w:r>
    </w:p>
    <w:p>
      <w:pPr>
        <w:spacing w:after="60"/>
        <w:ind w:left="288"/>
      </w:pPr>
      <w:r>
        <w:rPr>
          <w:b/>
          <w:color w:val="1B365D"/>
        </w:rPr>
        <w:t xml:space="preserve">[B3] </w:t>
      </w:r>
      <w:r>
        <w:t>Ich kann beurteilen, bei welchen meiner beruflichen Aufgaben der Einsatz generativer KI konkrete Vorteile bringt.</w:t>
      </w:r>
    </w:p>
    <w:p>
      <w:pPr>
        <w:keepNext/>
        <w:spacing w:before="160" w:after="40"/>
      </w:pPr>
      <w:r>
        <w:rPr>
          <w:b/>
          <w:color w:val="222222"/>
          <w:sz w:val="22"/>
        </w:rPr>
        <w:t>Bereich 3: Lern- und Problemlöse-Selbstwirksamkeit</w:t>
      </w:r>
    </w:p>
    <w:p>
      <w:pPr>
        <w:spacing w:after="60"/>
        <w:ind w:left="288"/>
      </w:pPr>
      <w:r>
        <w:rPr>
          <w:b/>
          <w:color w:val="1B365D"/>
        </w:rPr>
        <w:t xml:space="preserve">[L1] </w:t>
      </w:r>
      <w:r>
        <w:t>Ich kann die meisten Probleme bei der Nutzung generativer KI eigenständig lösen.</w:t>
      </w:r>
    </w:p>
    <w:p>
      <w:pPr>
        <w:spacing w:after="60"/>
        <w:ind w:left="288"/>
      </w:pPr>
      <w:r>
        <w:rPr>
          <w:b/>
          <w:color w:val="1B365D"/>
        </w:rPr>
        <w:t xml:space="preserve">[L2] </w:t>
      </w:r>
      <w:r>
        <w:t>Ich traue mir zu, mich selbstständig in neue Versionen oder Funktionen generativer KI einzuarbeiten.</w:t>
      </w:r>
    </w:p>
    <w:p>
      <w:pPr>
        <w:spacing w:after="60"/>
        <w:ind w:left="288"/>
      </w:pPr>
      <w:r>
        <w:rPr>
          <w:b/>
          <w:color w:val="1B365D"/>
        </w:rPr>
        <w:t xml:space="preserve">[L3] </w:t>
      </w:r>
      <w:r>
        <w:t>Auch bei unerwarteten oder unpassenden Antworten der KI finde ich selbst einen Weg, um zu einem brauchbaren Arbeitsergebnis zu gelangen.</w:t>
      </w:r>
    </w:p>
    <w:p>
      <w:pPr>
        <w:keepNext/>
        <w:spacing w:before="160" w:after="40"/>
      </w:pPr>
      <w:r>
        <w:rPr>
          <w:b/>
          <w:color w:val="222222"/>
          <w:sz w:val="22"/>
        </w:rPr>
        <w:t>Bereich 4: Vertrauen in die KI</w:t>
      </w:r>
    </w:p>
    <w:p>
      <w:pPr>
        <w:spacing w:after="60"/>
        <w:ind w:left="288"/>
      </w:pPr>
      <w:r>
        <w:rPr>
          <w:b/>
          <w:color w:val="1B365D"/>
        </w:rPr>
        <w:t xml:space="preserve">[V1] </w:t>
      </w:r>
      <w:r>
        <w:t>Ich vertraue den Ergebnissen generativer KI.</w:t>
      </w:r>
    </w:p>
    <w:p>
      <w:pPr>
        <w:spacing w:after="60"/>
        <w:ind w:left="288"/>
      </w:pPr>
      <w:r>
        <w:rPr>
          <w:b/>
          <w:color w:val="1B365D"/>
        </w:rPr>
        <w:t xml:space="preserve">[V2] </w:t>
      </w:r>
      <w:r>
        <w:t>Ich empfinde generative KI als ein verlässliches Hilfsmittel für meine beruflichen Aufgaben.</w:t>
      </w:r>
    </w:p>
    <w:p>
      <w:pPr>
        <w:spacing w:after="60"/>
        <w:ind w:left="288"/>
      </w:pPr>
      <w:r>
        <w:rPr>
          <w:b/>
          <w:color w:val="1B365D"/>
        </w:rPr>
        <w:t xml:space="preserve">[V3] </w:t>
      </w:r>
      <w:r>
        <w:t>Ich bin bereit, mich bei der Bearbeitung meiner Arbeitsaufgaben auf die Zuarbeit generativer KI zu stützen.</w:t>
      </w:r>
    </w:p>
    <w:p>
      <w:pPr>
        <w:keepNext/>
        <w:spacing w:before="160" w:after="40"/>
      </w:pPr>
      <w:r>
        <w:rPr>
          <w:b/>
          <w:color w:val="222222"/>
          <w:sz w:val="22"/>
        </w:rPr>
        <w:t>Bereich 5: Ethische Beurteilungsfähigkeit</w:t>
      </w:r>
    </w:p>
    <w:p>
      <w:pPr>
        <w:spacing w:after="60"/>
        <w:ind w:left="288"/>
      </w:pPr>
      <w:r>
        <w:rPr>
          <w:b/>
          <w:color w:val="1B365D"/>
        </w:rPr>
        <w:t xml:space="preserve">[E1] </w:t>
      </w:r>
      <w:r>
        <w:t>Ich kann ethische Gesichtspunkte berücksichtigen, wenn ich Inhalte generativer KI für meine Arbeit verwende.</w:t>
      </w:r>
    </w:p>
    <w:p>
      <w:pPr>
        <w:spacing w:after="60"/>
        <w:ind w:left="288"/>
      </w:pPr>
      <w:r>
        <w:rPr>
          <w:b/>
          <w:color w:val="1B365D"/>
        </w:rPr>
        <w:t xml:space="preserve">[E2] </w:t>
      </w:r>
      <w:r>
        <w:t>Ich kann einschätzen, welche Folgen der berufliche Einsatz generativer KI für andere Menschen haben kann.</w:t>
      </w:r>
    </w:p>
    <w:p>
      <w:pPr>
        <w:spacing w:after="60"/>
        <w:ind w:left="288"/>
      </w:pPr>
      <w:r>
        <w:rPr>
          <w:b/>
          <w:color w:val="1B365D"/>
        </w:rPr>
        <w:t xml:space="preserve">[E3] </w:t>
      </w:r>
      <w:r>
        <w:t>Ich kann beurteilen, ob von generativer KI erzeugte Texte Vorurteile enthalten.</w:t>
      </w:r>
    </w:p>
    <w:p>
      <w:pPr>
        <w:keepNext/>
        <w:spacing w:before="160" w:after="40"/>
      </w:pPr>
      <w:r>
        <w:rPr>
          <w:b/>
          <w:color w:val="222222"/>
          <w:sz w:val="22"/>
        </w:rPr>
        <w:t>Bereich 6: Nutzungsabsicht (Ergänzender Bereich)</w:t>
      </w:r>
    </w:p>
    <w:p>
      <w:pPr>
        <w:spacing w:after="60"/>
        <w:ind w:left="288"/>
      </w:pPr>
      <w:r>
        <w:rPr>
          <w:b/>
          <w:color w:val="1B365D"/>
        </w:rPr>
        <w:t xml:space="preserve">[N1] </w:t>
      </w:r>
      <w:r>
        <w:t>Ich beabsichtige, generative KI künftig für meine Aufgaben einzusetzen.</w:t>
      </w:r>
    </w:p>
    <w:p>
      <w:pPr>
        <w:spacing w:after="60"/>
        <w:ind w:left="288"/>
      </w:pPr>
      <w:r>
        <w:rPr>
          <w:b/>
          <w:color w:val="1B365D"/>
        </w:rPr>
        <w:t xml:space="preserve">[N2] </w:t>
      </w:r>
      <w:r>
        <w:t>Ich plane, generative KI für meine Aufgaben zu nutzen.</w:t>
      </w:r>
    </w:p>
    <w:p>
      <w:pPr>
        <w:spacing w:after="60"/>
        <w:ind w:left="288"/>
      </w:pPr>
      <w:r>
        <w:rPr>
          <w:b/>
          <w:color w:val="1B365D"/>
        </w:rPr>
        <w:t xml:space="preserve">[N3] </w:t>
      </w:r>
      <w:r>
        <w:t>Wenn generative KI an meinem Arbeitsplatz verfügbar wäre, würde ich sie für meine Aufgaben einsetzen.</w:t>
      </w:r>
    </w:p>
    <w:p>
      <w:pPr>
        <w:keepNext/>
        <w:spacing w:before="240" w:after="80"/>
      </w:pPr>
      <w:r>
        <w:rPr>
          <w:b/>
          <w:color w:val="4B6B94"/>
          <w:sz w:val="25"/>
        </w:rPr>
        <w:t>4.2 Korrigierte Herkunftstabelle der Aussagen (V2)</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none"/>
        </w:tblBorders>
      </w:tblPr>
      <w:tblGrid>
        <w:gridCol w:w="2520"/>
        <w:gridCol w:w="2520"/>
        <w:gridCol w:w="2520"/>
        <w:gridCol w:w="2520"/>
      </w:tblGrid>
      <w:tr>
        <w:trPr>
          <w:tblHeader/>
        </w:trPr>
        <w:tc>
          <w:tcPr>
            <w:tcW w:type="dxa" w:w="864"/>
            <w:shd w:fill="1B365D" w:val="clear"/>
            <w:tcMar>
              <w:top w:w="100" w:type="dxa"/>
              <w:bottom w:w="100" w:type="dxa"/>
              <w:left w:w="100" w:type="dxa"/>
              <w:right w:w="100" w:type="dxa"/>
            </w:tcMar>
          </w:tcPr>
          <w:p>
            <w:r>
              <w:rPr>
                <w:b/>
                <w:color w:val="FFFFFF"/>
                <w:sz w:val="19"/>
              </w:rPr>
              <w:t>ID</w:t>
            </w:r>
          </w:p>
        </w:tc>
        <w:tc>
          <w:tcPr>
            <w:tcW w:type="dxa" w:w="2160"/>
            <w:shd w:fill="1B365D" w:val="clear"/>
            <w:tcMar>
              <w:top w:w="100" w:type="dxa"/>
              <w:bottom w:w="100" w:type="dxa"/>
              <w:left w:w="100" w:type="dxa"/>
              <w:right w:w="100" w:type="dxa"/>
            </w:tcMar>
          </w:tcPr>
          <w:p>
            <w:r>
              <w:rPr>
                <w:b/>
                <w:color w:val="FFFFFF"/>
                <w:sz w:val="19"/>
              </w:rPr>
              <w:t>Bereich</w:t>
            </w:r>
          </w:p>
        </w:tc>
        <w:tc>
          <w:tcPr>
            <w:tcW w:type="dxa" w:w="3168"/>
            <w:shd w:fill="1B365D" w:val="clear"/>
            <w:tcMar>
              <w:top w:w="100" w:type="dxa"/>
              <w:bottom w:w="100" w:type="dxa"/>
              <w:left w:w="100" w:type="dxa"/>
              <w:right w:w="100" w:type="dxa"/>
            </w:tcMar>
          </w:tcPr>
          <w:p>
            <w:r>
              <w:rPr>
                <w:b/>
                <w:color w:val="FFFFFF"/>
                <w:sz w:val="19"/>
              </w:rPr>
              <w:t>Quelle &amp; Originalitem (mit Beleg)</w:t>
            </w:r>
          </w:p>
        </w:tc>
        <w:tc>
          <w:tcPr>
            <w:tcW w:type="dxa" w:w="3888"/>
            <w:shd w:fill="1B365D" w:val="clear"/>
            <w:tcMar>
              <w:top w:w="100" w:type="dxa"/>
              <w:bottom w:w="100" w:type="dxa"/>
              <w:left w:w="100" w:type="dxa"/>
              <w:right w:w="100" w:type="dxa"/>
            </w:tcMar>
          </w:tcPr>
          <w:p>
            <w:r>
              <w:rPr>
                <w:b/>
                <w:color w:val="FFFFFF"/>
                <w:sz w:val="19"/>
              </w:rPr>
              <w:t>Grad der Übernahme &amp; Anpassung</w:t>
            </w:r>
          </w:p>
        </w:tc>
      </w:tr>
      <w:tr>
        <w:trPr>
          <w:cantSplit/>
        </w:trPr>
        <w:tc>
          <w:tcPr>
            <w:tcW w:type="dxa" w:w="864"/>
            <w:shd w:fill="F2F4F7" w:val="clear"/>
            <w:tcMar>
              <w:top w:w="60" w:type="dxa"/>
              <w:bottom w:w="60" w:type="dxa"/>
              <w:left w:w="100" w:type="dxa"/>
              <w:right w:w="100" w:type="dxa"/>
            </w:tcMar>
          </w:tcPr>
          <w:p>
            <w:r>
              <w:rPr>
                <w:b/>
                <w:sz w:val="18"/>
              </w:rPr>
              <w:t>A1</w:t>
            </w:r>
          </w:p>
        </w:tc>
        <w:tc>
          <w:tcPr>
            <w:tcW w:type="dxa" w:w="2160"/>
            <w:shd w:fill="F2F4F7" w:val="clear"/>
            <w:tcMar>
              <w:top w:w="60" w:type="dxa"/>
              <w:bottom w:w="60" w:type="dxa"/>
              <w:left w:w="100" w:type="dxa"/>
              <w:right w:w="100" w:type="dxa"/>
            </w:tcMar>
          </w:tcPr>
          <w:p>
            <w:r>
              <w:rPr>
                <w:sz w:val="18"/>
              </w:rPr>
              <w:t>Praktische Anwend.</w:t>
            </w:r>
          </w:p>
        </w:tc>
        <w:tc>
          <w:tcPr>
            <w:tcW w:type="dxa" w:w="3168"/>
            <w:shd w:fill="F2F4F7" w:val="clear"/>
            <w:tcMar>
              <w:top w:w="60" w:type="dxa"/>
              <w:bottom w:w="60" w:type="dxa"/>
              <w:left w:w="100" w:type="dxa"/>
              <w:right w:w="100" w:type="dxa"/>
            </w:tcMar>
          </w:tcPr>
          <w:p>
            <w:r>
              <w:rPr>
                <w:sz w:val="18"/>
              </w:rPr>
              <w:t>Carolus et al. (2023), App. A, Apply AI, Item 4</w:t>
            </w:r>
          </w:p>
        </w:tc>
        <w:tc>
          <w:tcPr>
            <w:tcW w:type="dxa" w:w="3888"/>
            <w:shd w:fill="F2F4F7" w:val="clear"/>
            <w:tcMar>
              <w:top w:w="60" w:type="dxa"/>
              <w:bottom w:w="60" w:type="dxa"/>
              <w:left w:w="100" w:type="dxa"/>
              <w:right w:w="100" w:type="dxa"/>
            </w:tcMar>
          </w:tcPr>
          <w:p>
            <w:r>
              <w:rPr>
                <w:sz w:val="18"/>
              </w:rPr>
              <w:t>Stärker angepasst: Übertragung von Alltag auf Arbeitsaufgaben.</w:t>
            </w:r>
          </w:p>
        </w:tc>
      </w:tr>
      <w:tr>
        <w:trPr>
          <w:cantSplit/>
        </w:trPr>
        <w:tc>
          <w:tcPr>
            <w:tcW w:type="dxa" w:w="864"/>
            <w:shd w:fill="FFFFFF" w:val="clear"/>
            <w:tcMar>
              <w:top w:w="60" w:type="dxa"/>
              <w:bottom w:w="60" w:type="dxa"/>
              <w:left w:w="100" w:type="dxa"/>
              <w:right w:w="100" w:type="dxa"/>
            </w:tcMar>
          </w:tcPr>
          <w:p>
            <w:r>
              <w:rPr>
                <w:b/>
                <w:sz w:val="18"/>
              </w:rPr>
              <w:t>A2</w:t>
            </w:r>
          </w:p>
        </w:tc>
        <w:tc>
          <w:tcPr>
            <w:tcW w:type="dxa" w:w="2160"/>
            <w:shd w:fill="FFFFFF" w:val="clear"/>
            <w:tcMar>
              <w:top w:w="60" w:type="dxa"/>
              <w:bottom w:w="60" w:type="dxa"/>
              <w:left w:w="100" w:type="dxa"/>
              <w:right w:w="100" w:type="dxa"/>
            </w:tcMar>
          </w:tcPr>
          <w:p>
            <w:r>
              <w:rPr>
                <w:sz w:val="18"/>
              </w:rPr>
              <w:t>Praktische Anwend.</w:t>
            </w:r>
          </w:p>
        </w:tc>
        <w:tc>
          <w:tcPr>
            <w:tcW w:type="dxa" w:w="3168"/>
            <w:shd w:fill="FFFFFF" w:val="clear"/>
            <w:tcMar>
              <w:top w:w="60" w:type="dxa"/>
              <w:bottom w:w="60" w:type="dxa"/>
              <w:left w:w="100" w:type="dxa"/>
              <w:right w:w="100" w:type="dxa"/>
            </w:tcMar>
          </w:tcPr>
          <w:p>
            <w:r>
              <w:rPr>
                <w:sz w:val="18"/>
              </w:rPr>
              <w:t>Angelehnt an Carolus et al. (2023), Apply AI, Item 6</w:t>
            </w:r>
          </w:p>
        </w:tc>
        <w:tc>
          <w:tcPr>
            <w:tcW w:type="dxa" w:w="3888"/>
            <w:shd w:fill="FFFFFF" w:val="clear"/>
            <w:tcMar>
              <w:top w:w="60" w:type="dxa"/>
              <w:bottom w:w="60" w:type="dxa"/>
              <w:left w:w="100" w:type="dxa"/>
              <w:right w:w="100" w:type="dxa"/>
            </w:tcMar>
          </w:tcPr>
          <w:p>
            <w:r>
              <w:rPr>
                <w:sz w:val="18"/>
              </w:rPr>
              <w:t>Stärker angepasst: Präzisierung von „gewinnbringend kommunizieren“ auf Prompting.</w:t>
            </w:r>
          </w:p>
        </w:tc>
      </w:tr>
      <w:tr>
        <w:trPr>
          <w:cantSplit/>
        </w:trPr>
        <w:tc>
          <w:tcPr>
            <w:tcW w:type="dxa" w:w="864"/>
            <w:shd w:fill="F2F4F7" w:val="clear"/>
            <w:tcMar>
              <w:top w:w="60" w:type="dxa"/>
              <w:bottom w:w="60" w:type="dxa"/>
              <w:left w:w="100" w:type="dxa"/>
              <w:right w:w="100" w:type="dxa"/>
            </w:tcMar>
          </w:tcPr>
          <w:p>
            <w:r>
              <w:rPr>
                <w:b/>
                <w:sz w:val="18"/>
              </w:rPr>
              <w:t>A3</w:t>
            </w:r>
          </w:p>
        </w:tc>
        <w:tc>
          <w:tcPr>
            <w:tcW w:type="dxa" w:w="2160"/>
            <w:shd w:fill="F2F4F7" w:val="clear"/>
            <w:tcMar>
              <w:top w:w="60" w:type="dxa"/>
              <w:bottom w:w="60" w:type="dxa"/>
              <w:left w:w="100" w:type="dxa"/>
              <w:right w:w="100" w:type="dxa"/>
            </w:tcMar>
          </w:tcPr>
          <w:p>
            <w:r>
              <w:rPr>
                <w:sz w:val="18"/>
              </w:rPr>
              <w:t>Praktische Anwend.</w:t>
            </w:r>
          </w:p>
        </w:tc>
        <w:tc>
          <w:tcPr>
            <w:tcW w:type="dxa" w:w="3168"/>
            <w:shd w:fill="F2F4F7" w:val="clear"/>
            <w:tcMar>
              <w:top w:w="60" w:type="dxa"/>
              <w:bottom w:w="60" w:type="dxa"/>
              <w:left w:w="100" w:type="dxa"/>
              <w:right w:w="100" w:type="dxa"/>
            </w:tcMar>
          </w:tcPr>
          <w:p>
            <w:r>
              <w:rPr>
                <w:sz w:val="18"/>
              </w:rPr>
              <w:t>Angelehnt an Carolus et al. (2023), Apply AI, Item 3 / Paetow (2026)</w:t>
            </w:r>
          </w:p>
        </w:tc>
        <w:tc>
          <w:tcPr>
            <w:tcW w:type="dxa" w:w="3888"/>
            <w:shd w:fill="F2F4F7" w:val="clear"/>
            <w:tcMar>
              <w:top w:w="60" w:type="dxa"/>
              <w:bottom w:w="60" w:type="dxa"/>
              <w:left w:w="100" w:type="dxa"/>
              <w:right w:w="100" w:type="dxa"/>
            </w:tcMar>
          </w:tcPr>
          <w:p>
            <w:r>
              <w:rPr>
                <w:sz w:val="18"/>
              </w:rPr>
              <w:t>Stärker angepasst: Übertragung auf Ideenfindung im Beruf.</w:t>
            </w:r>
          </w:p>
        </w:tc>
      </w:tr>
      <w:tr>
        <w:trPr>
          <w:cantSplit/>
        </w:trPr>
        <w:tc>
          <w:tcPr>
            <w:tcW w:type="dxa" w:w="864"/>
            <w:shd w:fill="FFFFFF" w:val="clear"/>
            <w:tcMar>
              <w:top w:w="60" w:type="dxa"/>
              <w:bottom w:w="60" w:type="dxa"/>
              <w:left w:w="100" w:type="dxa"/>
              <w:right w:w="100" w:type="dxa"/>
            </w:tcMar>
          </w:tcPr>
          <w:p>
            <w:r>
              <w:rPr>
                <w:b/>
                <w:sz w:val="18"/>
              </w:rPr>
              <w:t>B1</w:t>
            </w:r>
          </w:p>
        </w:tc>
        <w:tc>
          <w:tcPr>
            <w:tcW w:type="dxa" w:w="2160"/>
            <w:shd w:fill="FFFFFF" w:val="clear"/>
            <w:tcMar>
              <w:top w:w="60" w:type="dxa"/>
              <w:bottom w:w="60" w:type="dxa"/>
              <w:left w:w="100" w:type="dxa"/>
              <w:right w:w="100" w:type="dxa"/>
            </w:tcMar>
          </w:tcPr>
          <w:p>
            <w:r>
              <w:rPr>
                <w:sz w:val="18"/>
              </w:rPr>
              <w:t>Kritische Beurteilung</w:t>
            </w:r>
          </w:p>
        </w:tc>
        <w:tc>
          <w:tcPr>
            <w:tcW w:type="dxa" w:w="3168"/>
            <w:shd w:fill="FFFFFF" w:val="clear"/>
            <w:tcMar>
              <w:top w:w="60" w:type="dxa"/>
              <w:bottom w:w="60" w:type="dxa"/>
              <w:left w:w="100" w:type="dxa"/>
              <w:right w:w="100" w:type="dxa"/>
            </w:tcMar>
          </w:tcPr>
          <w:p>
            <w:r>
              <w:rPr>
                <w:sz w:val="18"/>
              </w:rPr>
              <w:t>Carolus et al. (2023), App. A, Understand AI, Item 9</w:t>
            </w:r>
          </w:p>
        </w:tc>
        <w:tc>
          <w:tcPr>
            <w:tcW w:type="dxa" w:w="3888"/>
            <w:shd w:fill="FFFFFF" w:val="clear"/>
            <w:tcMar>
              <w:top w:w="60" w:type="dxa"/>
              <w:bottom w:w="60" w:type="dxa"/>
              <w:left w:w="100" w:type="dxa"/>
              <w:right w:w="100" w:type="dxa"/>
            </w:tcMar>
          </w:tcPr>
          <w:p>
            <w:r>
              <w:rPr>
                <w:sz w:val="18"/>
              </w:rPr>
              <w:t>Stärker angepasst: Fokussierung auf fachliche Grenzen im Arbeitskontext.</w:t>
            </w:r>
          </w:p>
        </w:tc>
      </w:tr>
      <w:tr>
        <w:trPr>
          <w:cantSplit/>
        </w:trPr>
        <w:tc>
          <w:tcPr>
            <w:tcW w:type="dxa" w:w="864"/>
            <w:shd w:fill="F2F4F7" w:val="clear"/>
            <w:tcMar>
              <w:top w:w="60" w:type="dxa"/>
              <w:bottom w:w="60" w:type="dxa"/>
              <w:left w:w="100" w:type="dxa"/>
              <w:right w:w="100" w:type="dxa"/>
            </w:tcMar>
          </w:tcPr>
          <w:p>
            <w:r>
              <w:rPr>
                <w:b/>
                <w:sz w:val="18"/>
              </w:rPr>
              <w:t>B2</w:t>
            </w:r>
          </w:p>
        </w:tc>
        <w:tc>
          <w:tcPr>
            <w:tcW w:type="dxa" w:w="2160"/>
            <w:shd w:fill="F2F4F7" w:val="clear"/>
            <w:tcMar>
              <w:top w:w="60" w:type="dxa"/>
              <w:bottom w:w="60" w:type="dxa"/>
              <w:left w:w="100" w:type="dxa"/>
              <w:right w:w="100" w:type="dxa"/>
            </w:tcMar>
          </w:tcPr>
          <w:p>
            <w:r>
              <w:rPr>
                <w:sz w:val="18"/>
              </w:rPr>
              <w:t>Kritische Beurteilung</w:t>
            </w:r>
          </w:p>
        </w:tc>
        <w:tc>
          <w:tcPr>
            <w:tcW w:type="dxa" w:w="3168"/>
            <w:shd w:fill="F2F4F7" w:val="clear"/>
            <w:tcMar>
              <w:top w:w="60" w:type="dxa"/>
              <w:bottom w:w="60" w:type="dxa"/>
              <w:left w:w="100" w:type="dxa"/>
              <w:right w:w="100" w:type="dxa"/>
            </w:tcMar>
          </w:tcPr>
          <w:p>
            <w:r>
              <w:rPr>
                <w:sz w:val="18"/>
              </w:rPr>
              <w:t>Datensatz_v1 / Do Khac et al. (2025), Quest. 4, Item X3</w:t>
            </w:r>
          </w:p>
        </w:tc>
        <w:tc>
          <w:tcPr>
            <w:tcW w:type="dxa" w:w="3888"/>
            <w:shd w:fill="F2F4F7" w:val="clear"/>
            <w:tcMar>
              <w:top w:w="60" w:type="dxa"/>
              <w:bottom w:w="60" w:type="dxa"/>
              <w:left w:w="100" w:type="dxa"/>
              <w:right w:w="100" w:type="dxa"/>
            </w:tcMar>
          </w:tcPr>
          <w:p>
            <w:r>
              <w:rPr>
                <w:sz w:val="18"/>
              </w:rPr>
              <w:t>Eng übernommen: Ersetzung von „ChatGPT“ durch „generative KI“.</w:t>
            </w:r>
          </w:p>
        </w:tc>
      </w:tr>
      <w:tr>
        <w:trPr>
          <w:cantSplit/>
        </w:trPr>
        <w:tc>
          <w:tcPr>
            <w:tcW w:type="dxa" w:w="864"/>
            <w:shd w:fill="FFFFFF" w:val="clear"/>
            <w:tcMar>
              <w:top w:w="60" w:type="dxa"/>
              <w:bottom w:w="60" w:type="dxa"/>
              <w:left w:w="100" w:type="dxa"/>
              <w:right w:w="100" w:type="dxa"/>
            </w:tcMar>
          </w:tcPr>
          <w:p>
            <w:r>
              <w:rPr>
                <w:b/>
                <w:sz w:val="18"/>
              </w:rPr>
              <w:t>B3</w:t>
            </w:r>
          </w:p>
        </w:tc>
        <w:tc>
          <w:tcPr>
            <w:tcW w:type="dxa" w:w="2160"/>
            <w:shd w:fill="FFFFFF" w:val="clear"/>
            <w:tcMar>
              <w:top w:w="60" w:type="dxa"/>
              <w:bottom w:w="60" w:type="dxa"/>
              <w:left w:w="100" w:type="dxa"/>
              <w:right w:w="100" w:type="dxa"/>
            </w:tcMar>
          </w:tcPr>
          <w:p>
            <w:r>
              <w:rPr>
                <w:sz w:val="18"/>
              </w:rPr>
              <w:t>Kritische Beurteilung</w:t>
            </w:r>
          </w:p>
        </w:tc>
        <w:tc>
          <w:tcPr>
            <w:tcW w:type="dxa" w:w="3168"/>
            <w:shd w:fill="FFFFFF" w:val="clear"/>
            <w:tcMar>
              <w:top w:w="60" w:type="dxa"/>
              <w:bottom w:w="60" w:type="dxa"/>
              <w:left w:w="100" w:type="dxa"/>
              <w:right w:w="100" w:type="dxa"/>
            </w:tcMar>
          </w:tcPr>
          <w:p>
            <w:r>
              <w:rPr>
                <w:sz w:val="18"/>
              </w:rPr>
              <w:t>Carolus et al. (2023), App. A, Understand AI, Item 10</w:t>
            </w:r>
          </w:p>
        </w:tc>
        <w:tc>
          <w:tcPr>
            <w:tcW w:type="dxa" w:w="3888"/>
            <w:shd w:fill="FFFFFF" w:val="clear"/>
            <w:tcMar>
              <w:top w:w="60" w:type="dxa"/>
              <w:bottom w:w="60" w:type="dxa"/>
              <w:left w:w="100" w:type="dxa"/>
              <w:right w:w="100" w:type="dxa"/>
            </w:tcMar>
          </w:tcPr>
          <w:p>
            <w:r>
              <w:rPr>
                <w:sz w:val="18"/>
              </w:rPr>
              <w:t>Stärker angepasst: Übertragung auf Vorteilhaftigkeit bei eigener Arbeit.</w:t>
            </w:r>
          </w:p>
        </w:tc>
      </w:tr>
      <w:tr>
        <w:trPr>
          <w:cantSplit/>
        </w:trPr>
        <w:tc>
          <w:tcPr>
            <w:tcW w:type="dxa" w:w="864"/>
            <w:shd w:fill="F2F4F7" w:val="clear"/>
            <w:tcMar>
              <w:top w:w="60" w:type="dxa"/>
              <w:bottom w:w="60" w:type="dxa"/>
              <w:left w:w="100" w:type="dxa"/>
              <w:right w:w="100" w:type="dxa"/>
            </w:tcMar>
          </w:tcPr>
          <w:p>
            <w:r>
              <w:rPr>
                <w:b/>
                <w:sz w:val="18"/>
              </w:rPr>
              <w:t>L1</w:t>
            </w:r>
          </w:p>
        </w:tc>
        <w:tc>
          <w:tcPr>
            <w:tcW w:type="dxa" w:w="2160"/>
            <w:shd w:fill="F2F4F7" w:val="clear"/>
            <w:tcMar>
              <w:top w:w="60" w:type="dxa"/>
              <w:bottom w:w="60" w:type="dxa"/>
              <w:left w:w="100" w:type="dxa"/>
              <w:right w:w="100" w:type="dxa"/>
            </w:tcMar>
          </w:tcPr>
          <w:p>
            <w:r>
              <w:rPr>
                <w:sz w:val="18"/>
              </w:rPr>
              <w:t>Lern- &amp; Problemlöse</w:t>
            </w:r>
          </w:p>
        </w:tc>
        <w:tc>
          <w:tcPr>
            <w:tcW w:type="dxa" w:w="3168"/>
            <w:shd w:fill="F2F4F7" w:val="clear"/>
            <w:tcMar>
              <w:top w:w="60" w:type="dxa"/>
              <w:bottom w:w="60" w:type="dxa"/>
              <w:left w:w="100" w:type="dxa"/>
              <w:right w:w="100" w:type="dxa"/>
            </w:tcMar>
          </w:tcPr>
          <w:p>
            <w:r>
              <w:rPr>
                <w:sz w:val="18"/>
              </w:rPr>
              <w:t>Carolus et al. (2023), App. A, AI Problem solving, Item 24</w:t>
            </w:r>
          </w:p>
        </w:tc>
        <w:tc>
          <w:tcPr>
            <w:tcW w:type="dxa" w:w="3888"/>
            <w:shd w:fill="F2F4F7" w:val="clear"/>
            <w:tcMar>
              <w:top w:w="60" w:type="dxa"/>
              <w:bottom w:w="60" w:type="dxa"/>
              <w:left w:w="100" w:type="dxa"/>
              <w:right w:w="100" w:type="dxa"/>
            </w:tcMar>
          </w:tcPr>
          <w:p>
            <w:r>
              <w:rPr>
                <w:sz w:val="18"/>
              </w:rPr>
              <w:t>Eng übernommen: Deutsche Übersetzung &amp; Glättung.</w:t>
            </w:r>
          </w:p>
        </w:tc>
      </w:tr>
      <w:tr>
        <w:trPr>
          <w:cantSplit/>
        </w:trPr>
        <w:tc>
          <w:tcPr>
            <w:tcW w:type="dxa" w:w="864"/>
            <w:shd w:fill="FFFFFF" w:val="clear"/>
            <w:tcMar>
              <w:top w:w="60" w:type="dxa"/>
              <w:bottom w:w="60" w:type="dxa"/>
              <w:left w:w="100" w:type="dxa"/>
              <w:right w:w="100" w:type="dxa"/>
            </w:tcMar>
          </w:tcPr>
          <w:p>
            <w:r>
              <w:rPr>
                <w:b/>
                <w:sz w:val="18"/>
              </w:rPr>
              <w:t>L2</w:t>
            </w:r>
          </w:p>
        </w:tc>
        <w:tc>
          <w:tcPr>
            <w:tcW w:type="dxa" w:w="2160"/>
            <w:shd w:fill="FFFFFF" w:val="clear"/>
            <w:tcMar>
              <w:top w:w="60" w:type="dxa"/>
              <w:bottom w:w="60" w:type="dxa"/>
              <w:left w:w="100" w:type="dxa"/>
              <w:right w:w="100" w:type="dxa"/>
            </w:tcMar>
          </w:tcPr>
          <w:p>
            <w:r>
              <w:rPr>
                <w:sz w:val="18"/>
              </w:rPr>
              <w:t>Lern- &amp; Problemlöse</w:t>
            </w:r>
          </w:p>
        </w:tc>
        <w:tc>
          <w:tcPr>
            <w:tcW w:type="dxa" w:w="3168"/>
            <w:shd w:fill="FFFFFF" w:val="clear"/>
            <w:tcMar>
              <w:top w:w="60" w:type="dxa"/>
              <w:bottom w:w="60" w:type="dxa"/>
              <w:left w:w="100" w:type="dxa"/>
              <w:right w:w="100" w:type="dxa"/>
            </w:tcMar>
          </w:tcPr>
          <w:p>
            <w:r>
              <w:rPr>
                <w:sz w:val="18"/>
              </w:rPr>
              <w:t>Angelehnt an Carolus et al. (2023), Learning, Item 26</w:t>
            </w:r>
          </w:p>
        </w:tc>
        <w:tc>
          <w:tcPr>
            <w:tcW w:type="dxa" w:w="3888"/>
            <w:shd w:fill="FFFFFF" w:val="clear"/>
            <w:tcMar>
              <w:top w:w="60" w:type="dxa"/>
              <w:bottom w:w="60" w:type="dxa"/>
              <w:left w:w="100" w:type="dxa"/>
              <w:right w:w="100" w:type="dxa"/>
            </w:tcMar>
          </w:tcPr>
          <w:p>
            <w:r>
              <w:rPr>
                <w:sz w:val="18"/>
              </w:rPr>
              <w:t>Stärker angepasst: Einarbeiten in neue Softwareversionen am Arbeitsplatz.</w:t>
            </w:r>
          </w:p>
        </w:tc>
      </w:tr>
      <w:tr>
        <w:trPr>
          <w:cantSplit/>
        </w:trPr>
        <w:tc>
          <w:tcPr>
            <w:tcW w:type="dxa" w:w="864"/>
            <w:shd w:fill="F2F4F7" w:val="clear"/>
            <w:tcMar>
              <w:top w:w="60" w:type="dxa"/>
              <w:bottom w:w="60" w:type="dxa"/>
              <w:left w:w="100" w:type="dxa"/>
              <w:right w:w="100" w:type="dxa"/>
            </w:tcMar>
          </w:tcPr>
          <w:p>
            <w:r>
              <w:rPr>
                <w:b/>
                <w:sz w:val="18"/>
              </w:rPr>
              <w:t>L3</w:t>
            </w:r>
          </w:p>
        </w:tc>
        <w:tc>
          <w:tcPr>
            <w:tcW w:type="dxa" w:w="2160"/>
            <w:shd w:fill="F2F4F7" w:val="clear"/>
            <w:tcMar>
              <w:top w:w="60" w:type="dxa"/>
              <w:bottom w:w="60" w:type="dxa"/>
              <w:left w:w="100" w:type="dxa"/>
              <w:right w:w="100" w:type="dxa"/>
            </w:tcMar>
          </w:tcPr>
          <w:p>
            <w:r>
              <w:rPr>
                <w:sz w:val="18"/>
              </w:rPr>
              <w:t>Lern- &amp; Problemlöse</w:t>
            </w:r>
          </w:p>
        </w:tc>
        <w:tc>
          <w:tcPr>
            <w:tcW w:type="dxa" w:w="3168"/>
            <w:shd w:fill="F2F4F7" w:val="clear"/>
            <w:tcMar>
              <w:top w:w="60" w:type="dxa"/>
              <w:bottom w:w="60" w:type="dxa"/>
              <w:left w:w="100" w:type="dxa"/>
              <w:right w:w="100" w:type="dxa"/>
            </w:tcMar>
          </w:tcPr>
          <w:p>
            <w:r>
              <w:rPr>
                <w:sz w:val="18"/>
              </w:rPr>
              <w:t>Angelehnt an Carolus et al. (2023), AI Problem solving, Item 25</w:t>
            </w:r>
          </w:p>
        </w:tc>
        <w:tc>
          <w:tcPr>
            <w:tcW w:type="dxa" w:w="3888"/>
            <w:shd w:fill="F2F4F7" w:val="clear"/>
            <w:tcMar>
              <w:top w:w="60" w:type="dxa"/>
              <w:bottom w:w="60" w:type="dxa"/>
              <w:left w:w="100" w:type="dxa"/>
              <w:right w:w="100" w:type="dxa"/>
            </w:tcMar>
          </w:tcPr>
          <w:p>
            <w:r>
              <w:rPr>
                <w:sz w:val="18"/>
              </w:rPr>
              <w:t>Stärker angepasst: Konkretisiert auf Bewältigung unerwarteter Modellantworten.</w:t>
            </w:r>
          </w:p>
        </w:tc>
      </w:tr>
      <w:tr>
        <w:trPr>
          <w:cantSplit/>
        </w:trPr>
        <w:tc>
          <w:tcPr>
            <w:tcW w:type="dxa" w:w="864"/>
            <w:shd w:fill="FFFFFF" w:val="clear"/>
            <w:tcMar>
              <w:top w:w="60" w:type="dxa"/>
              <w:bottom w:w="60" w:type="dxa"/>
              <w:left w:w="100" w:type="dxa"/>
              <w:right w:w="100" w:type="dxa"/>
            </w:tcMar>
          </w:tcPr>
          <w:p>
            <w:r>
              <w:rPr>
                <w:b/>
                <w:sz w:val="18"/>
              </w:rPr>
              <w:t>V1</w:t>
            </w:r>
          </w:p>
        </w:tc>
        <w:tc>
          <w:tcPr>
            <w:tcW w:type="dxa" w:w="2160"/>
            <w:shd w:fill="FFFFFF" w:val="clear"/>
            <w:tcMar>
              <w:top w:w="60" w:type="dxa"/>
              <w:bottom w:w="60" w:type="dxa"/>
              <w:left w:w="100" w:type="dxa"/>
              <w:right w:w="100" w:type="dxa"/>
            </w:tcMar>
          </w:tcPr>
          <w:p>
            <w:r>
              <w:rPr>
                <w:sz w:val="18"/>
              </w:rPr>
              <w:t>Vertrauen in KI</w:t>
            </w:r>
          </w:p>
        </w:tc>
        <w:tc>
          <w:tcPr>
            <w:tcW w:type="dxa" w:w="3168"/>
            <w:shd w:fill="FFFFFF" w:val="clear"/>
            <w:tcMar>
              <w:top w:w="60" w:type="dxa"/>
              <w:bottom w:w="60" w:type="dxa"/>
              <w:left w:w="100" w:type="dxa"/>
              <w:right w:w="100" w:type="dxa"/>
            </w:tcMar>
          </w:tcPr>
          <w:p>
            <w:r>
              <w:rPr>
                <w:sz w:val="18"/>
              </w:rPr>
              <w:t>Datensatz_v1 / Do Khac et al. (2025), Quest. 4, Item T4</w:t>
            </w:r>
          </w:p>
        </w:tc>
        <w:tc>
          <w:tcPr>
            <w:tcW w:type="dxa" w:w="3888"/>
            <w:shd w:fill="FFFFFF" w:val="clear"/>
            <w:tcMar>
              <w:top w:w="60" w:type="dxa"/>
              <w:bottom w:w="60" w:type="dxa"/>
              <w:left w:w="100" w:type="dxa"/>
              <w:right w:w="100" w:type="dxa"/>
            </w:tcMar>
          </w:tcPr>
          <w:p>
            <w:r>
              <w:rPr>
                <w:sz w:val="18"/>
              </w:rPr>
              <w:t>Eng übernommen / vereinfacht: Vertrauen in „Ergebnisse generativer KI“.</w:t>
            </w:r>
          </w:p>
        </w:tc>
      </w:tr>
      <w:tr>
        <w:trPr>
          <w:cantSplit/>
        </w:trPr>
        <w:tc>
          <w:tcPr>
            <w:tcW w:type="dxa" w:w="864"/>
            <w:shd w:fill="F2F4F7" w:val="clear"/>
            <w:tcMar>
              <w:top w:w="60" w:type="dxa"/>
              <w:bottom w:w="60" w:type="dxa"/>
              <w:left w:w="100" w:type="dxa"/>
              <w:right w:w="100" w:type="dxa"/>
            </w:tcMar>
          </w:tcPr>
          <w:p>
            <w:r>
              <w:rPr>
                <w:b/>
                <w:sz w:val="18"/>
              </w:rPr>
              <w:t>V2</w:t>
            </w:r>
          </w:p>
        </w:tc>
        <w:tc>
          <w:tcPr>
            <w:tcW w:type="dxa" w:w="2160"/>
            <w:shd w:fill="F2F4F7" w:val="clear"/>
            <w:tcMar>
              <w:top w:w="60" w:type="dxa"/>
              <w:bottom w:w="60" w:type="dxa"/>
              <w:left w:w="100" w:type="dxa"/>
              <w:right w:w="100" w:type="dxa"/>
            </w:tcMar>
          </w:tcPr>
          <w:p>
            <w:r>
              <w:rPr>
                <w:sz w:val="18"/>
              </w:rPr>
              <w:t>Vertrauen in KI</w:t>
            </w:r>
          </w:p>
        </w:tc>
        <w:tc>
          <w:tcPr>
            <w:tcW w:type="dxa" w:w="3168"/>
            <w:shd w:fill="F2F4F7" w:val="clear"/>
            <w:tcMar>
              <w:top w:w="60" w:type="dxa"/>
              <w:bottom w:w="60" w:type="dxa"/>
              <w:left w:w="100" w:type="dxa"/>
              <w:right w:w="100" w:type="dxa"/>
            </w:tcMar>
          </w:tcPr>
          <w:p>
            <w:r>
              <w:rPr>
                <w:sz w:val="18"/>
              </w:rPr>
              <w:t>Datensatz_v1 / Wichmann et al. (2025), Quest. 2, Item 5(1)</w:t>
            </w:r>
          </w:p>
        </w:tc>
        <w:tc>
          <w:tcPr>
            <w:tcW w:type="dxa" w:w="3888"/>
            <w:shd w:fill="F2F4F7" w:val="clear"/>
            <w:tcMar>
              <w:top w:w="60" w:type="dxa"/>
              <w:bottom w:w="60" w:type="dxa"/>
              <w:left w:w="100" w:type="dxa"/>
              <w:right w:w="100" w:type="dxa"/>
            </w:tcMar>
          </w:tcPr>
          <w:p>
            <w:r>
              <w:rPr>
                <w:sz w:val="18"/>
              </w:rPr>
              <w:t>Stärker angepasst: „reliable“ von App auf GenAI im Beruf übertragen.</w:t>
            </w:r>
          </w:p>
        </w:tc>
      </w:tr>
      <w:tr>
        <w:trPr>
          <w:cantSplit/>
        </w:trPr>
        <w:tc>
          <w:tcPr>
            <w:tcW w:type="dxa" w:w="864"/>
            <w:shd w:fill="FFFFFF" w:val="clear"/>
            <w:tcMar>
              <w:top w:w="60" w:type="dxa"/>
              <w:bottom w:w="60" w:type="dxa"/>
              <w:left w:w="100" w:type="dxa"/>
              <w:right w:w="100" w:type="dxa"/>
            </w:tcMar>
          </w:tcPr>
          <w:p>
            <w:r>
              <w:rPr>
                <w:b/>
                <w:sz w:val="18"/>
              </w:rPr>
              <w:t>V3</w:t>
            </w:r>
          </w:p>
        </w:tc>
        <w:tc>
          <w:tcPr>
            <w:tcW w:type="dxa" w:w="2160"/>
            <w:shd w:fill="FFFFFF" w:val="clear"/>
            <w:tcMar>
              <w:top w:w="60" w:type="dxa"/>
              <w:bottom w:w="60" w:type="dxa"/>
              <w:left w:w="100" w:type="dxa"/>
              <w:right w:w="100" w:type="dxa"/>
            </w:tcMar>
          </w:tcPr>
          <w:p>
            <w:r>
              <w:rPr>
                <w:sz w:val="18"/>
              </w:rPr>
              <w:t>Vertrauen in KI</w:t>
            </w:r>
          </w:p>
        </w:tc>
        <w:tc>
          <w:tcPr>
            <w:tcW w:type="dxa" w:w="3168"/>
            <w:shd w:fill="FFFFFF" w:val="clear"/>
            <w:tcMar>
              <w:top w:w="60" w:type="dxa"/>
              <w:bottom w:w="60" w:type="dxa"/>
              <w:left w:w="100" w:type="dxa"/>
              <w:right w:w="100" w:type="dxa"/>
            </w:tcMar>
          </w:tcPr>
          <w:p>
            <w:r>
              <w:rPr>
                <w:sz w:val="18"/>
              </w:rPr>
              <w:t>Do Khac et al. (2025) nach Mayer et al. (1995)</w:t>
            </w:r>
          </w:p>
        </w:tc>
        <w:tc>
          <w:tcPr>
            <w:tcW w:type="dxa" w:w="3888"/>
            <w:shd w:fill="FFFFFF" w:val="clear"/>
            <w:tcMar>
              <w:top w:w="60" w:type="dxa"/>
              <w:bottom w:w="60" w:type="dxa"/>
              <w:left w:w="100" w:type="dxa"/>
              <w:right w:w="100" w:type="dxa"/>
            </w:tcMar>
          </w:tcPr>
          <w:p>
            <w:r>
              <w:rPr>
                <w:sz w:val="18"/>
              </w:rPr>
              <w:t>Selbst entwickelt: Erfasst Willingness to rely ohne Kontrollverzicht.</w:t>
            </w:r>
          </w:p>
        </w:tc>
      </w:tr>
      <w:tr>
        <w:trPr>
          <w:cantSplit/>
        </w:trPr>
        <w:tc>
          <w:tcPr>
            <w:tcW w:type="dxa" w:w="864"/>
            <w:shd w:fill="F2F4F7" w:val="clear"/>
            <w:tcMar>
              <w:top w:w="60" w:type="dxa"/>
              <w:bottom w:w="60" w:type="dxa"/>
              <w:left w:w="100" w:type="dxa"/>
              <w:right w:w="100" w:type="dxa"/>
            </w:tcMar>
          </w:tcPr>
          <w:p>
            <w:r>
              <w:rPr>
                <w:b/>
                <w:sz w:val="18"/>
              </w:rPr>
              <w:t>E1</w:t>
            </w:r>
          </w:p>
        </w:tc>
        <w:tc>
          <w:tcPr>
            <w:tcW w:type="dxa" w:w="2160"/>
            <w:shd w:fill="F2F4F7" w:val="clear"/>
            <w:tcMar>
              <w:top w:w="60" w:type="dxa"/>
              <w:bottom w:w="60" w:type="dxa"/>
              <w:left w:w="100" w:type="dxa"/>
              <w:right w:w="100" w:type="dxa"/>
            </w:tcMar>
          </w:tcPr>
          <w:p>
            <w:r>
              <w:rPr>
                <w:sz w:val="18"/>
              </w:rPr>
              <w:t>Ethische Beurteilung</w:t>
            </w:r>
          </w:p>
        </w:tc>
        <w:tc>
          <w:tcPr>
            <w:tcW w:type="dxa" w:w="3168"/>
            <w:shd w:fill="F2F4F7" w:val="clear"/>
            <w:tcMar>
              <w:top w:w="60" w:type="dxa"/>
              <w:bottom w:w="60" w:type="dxa"/>
              <w:left w:w="100" w:type="dxa"/>
              <w:right w:w="100" w:type="dxa"/>
            </w:tcMar>
          </w:tcPr>
          <w:p>
            <w:r>
              <w:rPr>
                <w:sz w:val="18"/>
              </w:rPr>
              <w:t>Carolus et al. (2023), App. A, AI Ethics, Item 17</w:t>
            </w:r>
          </w:p>
        </w:tc>
        <w:tc>
          <w:tcPr>
            <w:tcW w:type="dxa" w:w="3888"/>
            <w:shd w:fill="F2F4F7" w:val="clear"/>
            <w:tcMar>
              <w:top w:w="60" w:type="dxa"/>
              <w:bottom w:w="60" w:type="dxa"/>
              <w:left w:w="100" w:type="dxa"/>
              <w:right w:w="100" w:type="dxa"/>
            </w:tcMar>
          </w:tcPr>
          <w:p>
            <w:r>
              <w:rPr>
                <w:sz w:val="18"/>
              </w:rPr>
              <w:t>Stärker angepasst: Vereinfacht auf berufliche GenAI-Inhalte.</w:t>
            </w:r>
          </w:p>
        </w:tc>
      </w:tr>
      <w:tr>
        <w:trPr>
          <w:cantSplit/>
        </w:trPr>
        <w:tc>
          <w:tcPr>
            <w:tcW w:type="dxa" w:w="864"/>
            <w:shd w:fill="FFFFFF" w:val="clear"/>
            <w:tcMar>
              <w:top w:w="60" w:type="dxa"/>
              <w:bottom w:w="60" w:type="dxa"/>
              <w:left w:w="100" w:type="dxa"/>
              <w:right w:w="100" w:type="dxa"/>
            </w:tcMar>
          </w:tcPr>
          <w:p>
            <w:r>
              <w:rPr>
                <w:b/>
                <w:sz w:val="18"/>
              </w:rPr>
              <w:t>E2</w:t>
            </w:r>
          </w:p>
        </w:tc>
        <w:tc>
          <w:tcPr>
            <w:tcW w:type="dxa" w:w="2160"/>
            <w:shd w:fill="FFFFFF" w:val="clear"/>
            <w:tcMar>
              <w:top w:w="60" w:type="dxa"/>
              <w:bottom w:w="60" w:type="dxa"/>
              <w:left w:w="100" w:type="dxa"/>
              <w:right w:w="100" w:type="dxa"/>
            </w:tcMar>
          </w:tcPr>
          <w:p>
            <w:r>
              <w:rPr>
                <w:sz w:val="18"/>
              </w:rPr>
              <w:t>Ethische Beurteilung</w:t>
            </w:r>
          </w:p>
        </w:tc>
        <w:tc>
          <w:tcPr>
            <w:tcW w:type="dxa" w:w="3168"/>
            <w:shd w:fill="FFFFFF" w:val="clear"/>
            <w:tcMar>
              <w:top w:w="60" w:type="dxa"/>
              <w:bottom w:w="60" w:type="dxa"/>
              <w:left w:w="100" w:type="dxa"/>
              <w:right w:w="100" w:type="dxa"/>
            </w:tcMar>
          </w:tcPr>
          <w:p>
            <w:r>
              <w:rPr>
                <w:sz w:val="18"/>
              </w:rPr>
              <w:t>Angelehnt an Carolus et al. (2023), AI Ethics, Item 16</w:t>
            </w:r>
          </w:p>
        </w:tc>
        <w:tc>
          <w:tcPr>
            <w:tcW w:type="dxa" w:w="3888"/>
            <w:shd w:fill="FFFFFF" w:val="clear"/>
            <w:tcMar>
              <w:top w:w="60" w:type="dxa"/>
              <w:bottom w:w="60" w:type="dxa"/>
              <w:left w:w="100" w:type="dxa"/>
              <w:right w:w="100" w:type="dxa"/>
            </w:tcMar>
          </w:tcPr>
          <w:p>
            <w:r>
              <w:rPr>
                <w:sz w:val="18"/>
              </w:rPr>
              <w:t>Stärker angepasst (deutliche Abweichung): Folgen für andere Menschen statt Gesellschaft.</w:t>
            </w:r>
          </w:p>
        </w:tc>
      </w:tr>
      <w:tr>
        <w:trPr>
          <w:cantSplit/>
        </w:trPr>
        <w:tc>
          <w:tcPr>
            <w:tcW w:type="dxa" w:w="864"/>
            <w:shd w:fill="F2F4F7" w:val="clear"/>
            <w:tcMar>
              <w:top w:w="60" w:type="dxa"/>
              <w:bottom w:w="60" w:type="dxa"/>
              <w:left w:w="100" w:type="dxa"/>
              <w:right w:w="100" w:type="dxa"/>
            </w:tcMar>
          </w:tcPr>
          <w:p>
            <w:r>
              <w:rPr>
                <w:b/>
                <w:sz w:val="18"/>
              </w:rPr>
              <w:t>E3</w:t>
            </w:r>
          </w:p>
        </w:tc>
        <w:tc>
          <w:tcPr>
            <w:tcW w:type="dxa" w:w="2160"/>
            <w:shd w:fill="F2F4F7" w:val="clear"/>
            <w:tcMar>
              <w:top w:w="60" w:type="dxa"/>
              <w:bottom w:w="60" w:type="dxa"/>
              <w:left w:w="100" w:type="dxa"/>
              <w:right w:w="100" w:type="dxa"/>
            </w:tcMar>
          </w:tcPr>
          <w:p>
            <w:r>
              <w:rPr>
                <w:sz w:val="18"/>
              </w:rPr>
              <w:t>Ethische Beurteilung</w:t>
            </w:r>
          </w:p>
        </w:tc>
        <w:tc>
          <w:tcPr>
            <w:tcW w:type="dxa" w:w="3168"/>
            <w:shd w:fill="F2F4F7" w:val="clear"/>
            <w:tcMar>
              <w:top w:w="60" w:type="dxa"/>
              <w:bottom w:w="60" w:type="dxa"/>
              <w:left w:w="100" w:type="dxa"/>
              <w:right w:w="100" w:type="dxa"/>
            </w:tcMar>
          </w:tcPr>
          <w:p>
            <w:r>
              <w:rPr>
                <w:sz w:val="18"/>
              </w:rPr>
              <w:t>Angelehnt an Carolus et al. (2023), Item 18 / Luckin et al. (2022)</w:t>
            </w:r>
          </w:p>
        </w:tc>
        <w:tc>
          <w:tcPr>
            <w:tcW w:type="dxa" w:w="3888"/>
            <w:shd w:fill="F2F4F7" w:val="clear"/>
            <w:tcMar>
              <w:top w:w="60" w:type="dxa"/>
              <w:bottom w:w="60" w:type="dxa"/>
              <w:left w:w="100" w:type="dxa"/>
              <w:right w:w="100" w:type="dxa"/>
            </w:tcMar>
          </w:tcPr>
          <w:p>
            <w:r>
              <w:rPr>
                <w:sz w:val="18"/>
              </w:rPr>
              <w:t>Selbst entwickelt: Operationalisierung von Vorurteilen in Texten.</w:t>
            </w:r>
          </w:p>
        </w:tc>
      </w:tr>
      <w:tr>
        <w:trPr>
          <w:cantSplit/>
        </w:trPr>
        <w:tc>
          <w:tcPr>
            <w:tcW w:type="dxa" w:w="864"/>
            <w:shd w:fill="FFFFFF" w:val="clear"/>
            <w:tcMar>
              <w:top w:w="60" w:type="dxa"/>
              <w:bottom w:w="60" w:type="dxa"/>
              <w:left w:w="100" w:type="dxa"/>
              <w:right w:w="100" w:type="dxa"/>
            </w:tcMar>
          </w:tcPr>
          <w:p>
            <w:r>
              <w:rPr>
                <w:b/>
                <w:sz w:val="18"/>
              </w:rPr>
              <w:t>N1</w:t>
            </w:r>
          </w:p>
        </w:tc>
        <w:tc>
          <w:tcPr>
            <w:tcW w:type="dxa" w:w="2160"/>
            <w:shd w:fill="FFFFFF" w:val="clear"/>
            <w:tcMar>
              <w:top w:w="60" w:type="dxa"/>
              <w:bottom w:w="60" w:type="dxa"/>
              <w:left w:w="100" w:type="dxa"/>
              <w:right w:w="100" w:type="dxa"/>
            </w:tcMar>
          </w:tcPr>
          <w:p>
            <w:r>
              <w:rPr>
                <w:sz w:val="18"/>
              </w:rPr>
              <w:t>Nutzungsabsicht</w:t>
            </w:r>
          </w:p>
        </w:tc>
        <w:tc>
          <w:tcPr>
            <w:tcW w:type="dxa" w:w="3168"/>
            <w:shd w:fill="FFFFFF" w:val="clear"/>
            <w:tcMar>
              <w:top w:w="60" w:type="dxa"/>
              <w:bottom w:w="60" w:type="dxa"/>
              <w:left w:w="100" w:type="dxa"/>
              <w:right w:w="100" w:type="dxa"/>
            </w:tcMar>
          </w:tcPr>
          <w:p>
            <w:r>
              <w:rPr>
                <w:sz w:val="18"/>
              </w:rPr>
              <w:t>Datensatz_v1 / Paetow et al. (2026), Quest. 3, Item BI 1</w:t>
            </w:r>
          </w:p>
        </w:tc>
        <w:tc>
          <w:tcPr>
            <w:tcW w:type="dxa" w:w="3888"/>
            <w:shd w:fill="FFFFFF" w:val="clear"/>
            <w:tcMar>
              <w:top w:w="60" w:type="dxa"/>
              <w:bottom w:w="60" w:type="dxa"/>
              <w:left w:w="100" w:type="dxa"/>
              <w:right w:w="100" w:type="dxa"/>
            </w:tcMar>
          </w:tcPr>
          <w:p>
            <w:r>
              <w:rPr>
                <w:sz w:val="18"/>
              </w:rPr>
              <w:t>Eng übernommen: Technologiebegriff zu GenAI angepasst.</w:t>
            </w:r>
          </w:p>
        </w:tc>
      </w:tr>
      <w:tr>
        <w:trPr>
          <w:cantSplit/>
        </w:trPr>
        <w:tc>
          <w:tcPr>
            <w:tcW w:type="dxa" w:w="864"/>
            <w:shd w:fill="F2F4F7" w:val="clear"/>
            <w:tcMar>
              <w:top w:w="60" w:type="dxa"/>
              <w:bottom w:w="60" w:type="dxa"/>
              <w:left w:w="100" w:type="dxa"/>
              <w:right w:w="100" w:type="dxa"/>
            </w:tcMar>
          </w:tcPr>
          <w:p>
            <w:r>
              <w:rPr>
                <w:b/>
                <w:sz w:val="18"/>
              </w:rPr>
              <w:t>N2</w:t>
            </w:r>
          </w:p>
        </w:tc>
        <w:tc>
          <w:tcPr>
            <w:tcW w:type="dxa" w:w="2160"/>
            <w:shd w:fill="F2F4F7" w:val="clear"/>
            <w:tcMar>
              <w:top w:w="60" w:type="dxa"/>
              <w:bottom w:w="60" w:type="dxa"/>
              <w:left w:w="100" w:type="dxa"/>
              <w:right w:w="100" w:type="dxa"/>
            </w:tcMar>
          </w:tcPr>
          <w:p>
            <w:r>
              <w:rPr>
                <w:sz w:val="18"/>
              </w:rPr>
              <w:t>Nutzungsabsicht</w:t>
            </w:r>
          </w:p>
        </w:tc>
        <w:tc>
          <w:tcPr>
            <w:tcW w:type="dxa" w:w="3168"/>
            <w:shd w:fill="F2F4F7" w:val="clear"/>
            <w:tcMar>
              <w:top w:w="60" w:type="dxa"/>
              <w:bottom w:w="60" w:type="dxa"/>
              <w:left w:w="100" w:type="dxa"/>
              <w:right w:w="100" w:type="dxa"/>
            </w:tcMar>
          </w:tcPr>
          <w:p>
            <w:r>
              <w:rPr>
                <w:sz w:val="18"/>
              </w:rPr>
              <w:t>Datensatz_v1 / Paetow et al. (2026), Quest. 3, Item BI 2</w:t>
            </w:r>
          </w:p>
        </w:tc>
        <w:tc>
          <w:tcPr>
            <w:tcW w:type="dxa" w:w="3888"/>
            <w:shd w:fill="F2F4F7" w:val="clear"/>
            <w:tcMar>
              <w:top w:w="60" w:type="dxa"/>
              <w:bottom w:w="60" w:type="dxa"/>
              <w:left w:w="100" w:type="dxa"/>
              <w:right w:w="100" w:type="dxa"/>
            </w:tcMar>
          </w:tcPr>
          <w:p>
            <w:r>
              <w:rPr>
                <w:sz w:val="18"/>
              </w:rPr>
              <w:t>Eng übernommen: Technologiebegriff zu GenAI angepasst.</w:t>
            </w:r>
          </w:p>
        </w:tc>
      </w:tr>
      <w:tr>
        <w:trPr>
          <w:cantSplit/>
        </w:trPr>
        <w:tc>
          <w:tcPr>
            <w:tcW w:type="dxa" w:w="864"/>
            <w:shd w:fill="FFFFFF" w:val="clear"/>
            <w:tcMar>
              <w:top w:w="60" w:type="dxa"/>
              <w:bottom w:w="60" w:type="dxa"/>
              <w:left w:w="100" w:type="dxa"/>
              <w:right w:w="100" w:type="dxa"/>
            </w:tcMar>
          </w:tcPr>
          <w:p>
            <w:r>
              <w:rPr>
                <w:b/>
                <w:sz w:val="18"/>
              </w:rPr>
              <w:t>N3</w:t>
            </w:r>
          </w:p>
        </w:tc>
        <w:tc>
          <w:tcPr>
            <w:tcW w:type="dxa" w:w="2160"/>
            <w:shd w:fill="FFFFFF" w:val="clear"/>
            <w:tcMar>
              <w:top w:w="60" w:type="dxa"/>
              <w:bottom w:w="60" w:type="dxa"/>
              <w:left w:w="100" w:type="dxa"/>
              <w:right w:w="100" w:type="dxa"/>
            </w:tcMar>
          </w:tcPr>
          <w:p>
            <w:r>
              <w:rPr>
                <w:sz w:val="18"/>
              </w:rPr>
              <w:t>Nutzungsabsicht</w:t>
            </w:r>
          </w:p>
        </w:tc>
        <w:tc>
          <w:tcPr>
            <w:tcW w:type="dxa" w:w="3168"/>
            <w:shd w:fill="FFFFFF" w:val="clear"/>
            <w:tcMar>
              <w:top w:w="60" w:type="dxa"/>
              <w:bottom w:w="60" w:type="dxa"/>
              <w:left w:w="100" w:type="dxa"/>
              <w:right w:w="100" w:type="dxa"/>
            </w:tcMar>
          </w:tcPr>
          <w:p>
            <w:r>
              <w:rPr>
                <w:sz w:val="18"/>
              </w:rPr>
              <w:t>Datensatz_v1 / Paetow et al. (2026), Quest. 3, Item BI 3</w:t>
            </w:r>
          </w:p>
        </w:tc>
        <w:tc>
          <w:tcPr>
            <w:tcW w:type="dxa" w:w="3888"/>
            <w:shd w:fill="FFFFFF" w:val="clear"/>
            <w:tcMar>
              <w:top w:w="60" w:type="dxa"/>
              <w:bottom w:w="60" w:type="dxa"/>
              <w:left w:w="100" w:type="dxa"/>
              <w:right w:w="100" w:type="dxa"/>
            </w:tcMar>
          </w:tcPr>
          <w:p>
            <w:r>
              <w:rPr>
                <w:sz w:val="18"/>
              </w:rPr>
              <w:t>Eng übernommen: Konjunktiv-Formulierung des Originals beibehalten.</w:t>
            </w:r>
          </w:p>
        </w:tc>
      </w:tr>
    </w:tbl>
    <w:p>
      <w:pPr>
        <w:spacing w:after="80"/>
      </w:pPr>
    </w:p>
    <w:p>
      <w:pPr>
        <w:keepNext/>
        <w:spacing w:before="240" w:after="80"/>
      </w:pPr>
      <w:r>
        <w:rPr>
          <w:b/>
          <w:color w:val="4B6B94"/>
          <w:sz w:val="25"/>
        </w:rPr>
        <w:t>4.3 Dokumentation der Skalenabweichungen</w:t>
      </w:r>
    </w:p>
    <w:p>
      <w:pPr>
        <w:pStyle w:val="ListBullet"/>
      </w:pPr>
      <w:r>
        <w:rPr>
          <w:b/>
        </w:rPr>
        <w:t xml:space="preserve">Carolus et al. (2023) (MAILS): </w:t>
      </w:r>
      <w:r>
        <w:t>Original nutzt eine 11-stufige Skala (0–10) zur reinen Fähigkeitseinschätzung. Im vorliegenden Entwurf wurde diese auf eine 5-stufige Likert-Zustimmungsskala umgestellt, um ein durchgängiges Antwortformat zu gewährleisten.</w:t>
      </w:r>
    </w:p>
    <w:p>
      <w:pPr>
        <w:pStyle w:val="ListBullet"/>
      </w:pPr>
      <w:r>
        <w:rPr>
          <w:b/>
        </w:rPr>
        <w:t xml:space="preserve">Wichmann et al. (2025) (Questionnaire 2 / PowerPilot): </w:t>
      </w:r>
      <w:r>
        <w:t>Original nutzt eine 7-stufige Likert-Skala (1–7). Umstellung auf 5 Stufen zur Vereinheitlichung.</w:t>
      </w:r>
    </w:p>
    <w:p>
      <w:pPr>
        <w:pStyle w:val="ListBullet"/>
      </w:pPr>
      <w:r>
        <w:rPr>
          <w:b/>
        </w:rPr>
        <w:t xml:space="preserve">Paetow et al. (2026) (Questionnaire 3 / VR): </w:t>
      </w:r>
      <w:r>
        <w:t>Nutzt im Original bereits eine 5-stufige Likert-Skala (1–5). Vollständige Formatübereinstimmung.</w:t>
      </w:r>
    </w:p>
    <w:p>
      <w:pPr>
        <w:pStyle w:val="ListBullet"/>
      </w:pPr>
      <w:r>
        <w:rPr>
          <w:b/>
        </w:rPr>
        <w:t xml:space="preserve">Do Khac et al. (2025) (Questionnaire 4 / ChatGPT): </w:t>
      </w:r>
      <w:r>
        <w:t>Die Stufenanzahl und Skalenanker sind in den Publikationstexten nicht explizit genannt und wurden daher transparent als nicht eindeutig belegt ausgewiesen.</w:t>
      </w:r>
    </w:p>
    <w:p>
      <w:pPr>
        <w:keepNext/>
        <w:spacing w:before="320" w:after="120"/>
      </w:pPr>
      <w:r>
        <w:rPr>
          <w:b/>
          <w:color w:val="1B365D"/>
          <w:sz w:val="30"/>
        </w:rPr>
        <w:t>5. Wiederverwendbare Leitlinien &amp; Startprompt</w:t>
      </w:r>
    </w:p>
    <w:p>
      <w:r>
        <w:t>Für künftige Notizbücher und Studien steht der nachfolgende vollständige Startprompt als Kopiervorlage bereit. Er erlaubt es, auf Basis desselben Quellensets maßgeschneiderte Fragebogenentwürfe für spezifische Zielgruppen und Aufgabenfelder zu generieren.</w:t>
      </w:r>
    </w:p>
    <w:tbl>
      <w:tblPr>
        <w:tblW w:type="auto" w:w="0"/>
        <w:jc w:val="center"/>
        <w:tblLayout w:type="fixed"/>
        <w:tblLook w:firstColumn="1" w:firstRow="1" w:lastColumn="0" w:lastRow="0" w:noHBand="0" w:noVBand="1" w:val="04A0"/>
      </w:tblPr>
      <w:tblGrid>
        <w:gridCol w:w="10080"/>
      </w:tblGrid>
      <w:tr>
        <w:tc>
          <w:tcPr>
            <w:tcW w:type="dxa" w:w="10080"/>
            <w:shd w:fill="F2F4F7" w:val="clear"/>
            <w:tcMar>
              <w:top w:w="120" w:type="dxa"/>
              <w:bottom w:w="120" w:type="dxa"/>
              <w:left w:w="180" w:type="dxa"/>
              <w:right w:w="180" w:type="dxa"/>
            </w:tcMar>
            <w:tcBorders>
              <w:left w:val="single" w:sz="24" w:space="0" w:color="1B365D"/>
              <w:top w:val="none"/>
              <w:bottom w:val="none"/>
              <w:right w:val="none"/>
            </w:tcBorders>
          </w:tcPr>
          <w:p>
            <w:pPr>
              <w:spacing w:after="40"/>
            </w:pPr>
            <w:r>
              <w:rPr>
                <w:b/>
                <w:color w:val="1B365D"/>
                <w:sz w:val="21"/>
              </w:rPr>
              <w:t>Wiederverwendbarer Startprompt (Kopiervorlage)</w:t>
              <w:br/>
            </w:r>
            <w:r>
              <w:rPr>
                <w:color w:val="222222"/>
                <w:sz w:val="20"/>
              </w:rPr>
              <w:t># Startprompt: Entwicklung eines theoriegeleiteten Fragebogens zur KI-Readiness von Mitarbeitenden</w:t>
              <w:br/>
              <w:br/>
              <w:t>## Rolle und Ziel</w:t>
              <w:br/>
              <w:t>Du bist ein wissenschaftlicher Assistent für empirische Forschungsmethoden. Deine Aufgabe ist es, auf Basis der im Notizbuch hinterlegten Quellen einen theoriegeleiteten Fragebogenentwurf zu erstellen, der die KI-Readiness einzelner Mitarbeitender beim beruflichen Einsatz generativer KI erfasst. Es geht ausschließlich um die subjektive Selbsteinschätzung und Nutzungsabsicht im Arbeitsalltag.</w:t>
              <w:br/>
              <w:br/>
              <w:t>## 1. Rahmendaten (auszufüllen)</w:t>
              <w:br/>
              <w:t>* Zielgruppe: [z. B. Sachbearbeitung / Lehrkräfte / Marketing]</w:t>
              <w:br/>
              <w:t>* Vorgesehene Aufgaben: [z. B. Textentwürfe, Zusammenfassungen, Brainstorming]</w:t>
              <w:br/>
              <w:t>* Technologiefokus: Generative KI-Systeme (LLMs)</w:t>
              <w:br/>
              <w:br/>
              <w:t>## 2. Die sechs Bereiche (ca. 18 Aussagen, 3 pro Bereich)</w:t>
              <w:br/>
              <w:t>1. Praktische Anwendung (A1–A3)</w:t>
              <w:br/>
              <w:t>2. Kritische Beurteilung von Möglichkeiten, Grenzen und Ergebnissen (B1–B3)</w:t>
              <w:br/>
              <w:t>3. Lern- und Problemlöse-Selbstwirksamkeit (L1–L3)</w:t>
              <w:br/>
              <w:t>4. Vertrauen in die KI (V1–V3)</w:t>
              <w:br/>
              <w:t>5. Ethische Beurteilungsfähigkeit (E1–E3)</w:t>
              <w:br/>
              <w:t>6. Nutzungsabsicht als ergänzender Bereich (N1–N3)</w:t>
              <w:br/>
              <w:br/>
              <w:t>## 3. Verbindliche methodische Regeln</w:t>
              <w:br/>
              <w:t>* Nur hinterlegte Quellen nutzen mit Belegstellen.</w:t>
              <w:br/>
              <w:t>* Theorien, Frameworks und Skalen unterscheiden (Skalen = Aussagensammlungen zur Merkmalsmessung).</w:t>
              <w:br/>
              <w:t>* Datenschutzvertrauen ≠ Datenschutzkompetenz.</w:t>
              <w:br/>
              <w:t>* Vertrauen ≠ Kontrollverzicht (Human-in-the-Loop beibehalten).</w:t>
              <w:br/>
              <w:t>* Keinen ungewichteten Gesamtwert bilden.</w:t>
              <w:br/>
              <w:t>* 5-stufige Skala (1=stimme überhaupt nicht zu bis 5=stimme vollständig zu) + [k. B.] ohne Zahlenwert.</w:t>
              <w:br/>
              <w:t>* Ein Gedanke pro Aussage, Ich-Perspektive, Deutsch.</w:t>
              <w:br/>
              <w:br/>
              <w:t>## 4. Ausgabestruktur</w:t>
              <w:br/>
              <w:t>1. Theoretische Fundierung &amp; Arbeitsdefinition</w:t>
              <w:br/>
              <w:t>2. Vollständiger Fragebogenentwurf</w:t>
              <w:br/>
              <w:t>3. Detaillierte Herkunftstabelle der Aussagen</w:t>
              <w:br/>
              <w:t>4. Dokumentation der Skalenabweichungen</w:t>
              <w:br/>
              <w:t>5. Methodischer Qualitätscheck &amp; Limitationen</w:t>
            </w:r>
          </w:p>
        </w:tc>
      </w:tr>
    </w:tbl>
    <w:p>
      <w:pPr>
        <w:spacing w:after="80"/>
      </w:pP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Dokumentation KI-Readiness Fragebogen  |  Seite </w:t>
      <w:fldChar w:fldCharType="begin"/>
      <w:instrText xml:space="preserve">PAGE</w:instrText>
      <w:fldChar w:fldCharType="separate"/>
      <w:fldChar w:fldCharType="end"/>
    </w:r>
    <w:r>
      <w:rPr>
        <w:color w:val="666666"/>
        <w:sz w:val="18"/>
      </w:rPr>
      <w:t xml:space="preserve"> von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7"/>
      </w:rPr>
      <w:t>Praxisseminar Hausarbeit: KI-Readiness von Mitarbeitenden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