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B365D"/>
          <w:sz w:val="48"/>
        </w:rPr>
        <w:t>Dokumentation &amp; Chatverlauf</w:t>
      </w:r>
    </w:p>
    <w:p>
      <w:pPr>
        <w:spacing w:after="360"/>
      </w:pPr>
      <w:r>
        <w:rPr>
          <w:rFonts w:ascii="Arial" w:hAnsi="Arial"/>
          <w:i/>
          <w:color w:val="555555"/>
          <w:sz w:val="26"/>
        </w:rPr>
        <w:t>Entwicklung eines Selbsteinschätzungs-Fragebogens zur Mitarbeiter-KI-Readiness (Erstfassung, Begleitmaterial &amp; Leitlinien V2)</w:t>
      </w:r>
    </w:p>
    <w:p>
      <w:pPr>
        <w:spacing w:after="360"/>
      </w:pPr>
      <w:r>
        <w:rPr>
          <w:color w:val="C8C8C8"/>
        </w:rPr>
        <w:t>―――――――――――――――――――――――――――――――――――――――――――――――――――――――</w:t>
      </w:r>
    </w:p>
    <w:p>
      <w:pPr>
        <w:keepNext/>
        <w:spacing w:before="360" w:after="120"/>
      </w:pPr>
      <w:r>
        <w:rPr>
          <w:rFonts w:ascii="Arial" w:hAnsi="Arial"/>
          <w:b/>
          <w:color w:val="1B365D"/>
          <w:sz w:val="32"/>
        </w:rPr>
        <w:t>TEIL I: Fragebogen zur KI-Readiness (Einsatzversion für Mitarbeitende)</w:t>
      </w:r>
    </w:p>
    <w:p>
      <w:r>
        <w:rPr>
          <w:b/>
        </w:rPr>
        <w:t>Fragebogen zur Selbsteinschätzung: Einsatz generativer Künstlicher Intelligenz im Arbeitsalltag</w:t>
      </w:r>
    </w:p>
    <w:p>
      <w:r>
        <w:t>Sehr geehrte Mitarbeiterin, sehr geehrter Mitarbeiter,</w:t>
      </w:r>
    </w:p>
    <w:p>
      <w:r>
        <w:t>künstliche Intelligenz – insbesondere generative KI-Systeme wie Text- und Sprachassistenten (z. B. ChatGPT oder vergleichbare Large Language Models) – gewinnt im beruflichen Alltag zunehmend an Bedeutung. Dieser Fragebogen dient dazu, Ihre persönliche Sichtweise, Ihr Zutrauen und Ihre Absichten beim Einsatz solcher Werkzeuge zu erfassen.</w:t>
      </w:r>
    </w:p>
    <w:p>
      <w:r>
        <w:t>Im Fokus stehen dabei typische Tätigkeiten Ihres Arbeitsalltags:</w:t>
      </w:r>
    </w:p>
    <w:p>
      <w:pPr>
        <w:pStyle w:val="ListBullet"/>
      </w:pPr>
      <w:r>
        <w:rPr>
          <w:b/>
        </w:rPr>
        <w:t>Erstellen von Textentwürfen</w:t>
      </w:r>
    </w:p>
    <w:p>
      <w:pPr>
        <w:pStyle w:val="ListBullet"/>
      </w:pPr>
      <w:r>
        <w:rPr>
          <w:b/>
        </w:rPr>
        <w:t>Zusammenfassen von Informationen</w:t>
      </w:r>
    </w:p>
    <w:p>
      <w:pPr>
        <w:pStyle w:val="ListBullet"/>
      </w:pPr>
      <w:r>
        <w:rPr>
          <w:b/>
        </w:rPr>
        <w:t>Entwickeln neuer Ideen</w:t>
      </w:r>
    </w:p>
    <w:p>
      <w:r>
        <w:t>Dieser Fragebogen ist kein Wissenstest: Es gibt keine „richtigen“ oder „falschen“ Antworten. Es geht ausschließlich um Ihre persönliche Einschätzung und Ihre individuellen Arbeitserfahrungen. Die Teilnahme ist freiwillig; die Erhebung erfolgt zu wissenschaftlichen und betrieblichen Evaluierungszwecken im Rahmen des betrieblichen KI-Einführungsprozesses.</w:t>
      </w:r>
    </w:p>
    <w:p>
      <w:pPr>
        <w:keepNext/>
        <w:spacing w:before="280" w:after="80"/>
      </w:pPr>
      <w:r>
        <w:rPr>
          <w:rFonts w:ascii="Arial" w:hAnsi="Arial"/>
          <w:b/>
          <w:color w:val="2F5496"/>
          <w:sz w:val="26"/>
        </w:rPr>
        <w:t>Hinweise zum Ausfüllen und Antwortskala</w:t>
      </w:r>
    </w:p>
    <w:p>
      <w:r>
        <w:t>Bitte beurteilen Sie die nachfolgenden Aussagen anhand der folgenden 5-stufigen Skala:</w:t>
      </w:r>
    </w:p>
    <w:tbl>
      <w:tblPr>
        <w:tblStyle w:val="TableGrid"/>
        <w:tblW w:type="auto" w:w="0"/>
        <w:jc w:val="center"/>
        <w:tblLayout w:type="fixed"/>
        <w:tblLook w:firstColumn="1" w:firstRow="1" w:lastColumn="0" w:lastRow="0" w:noHBand="0" w:noVBand="1" w:val="04A0"/>
      </w:tblPr>
      <w:tblGrid>
        <w:gridCol w:w="4320"/>
        <w:gridCol w:w="4320"/>
      </w:tblGrid>
      <w:tr>
        <w:trPr>
          <w:cantSplit/>
          <w:tblHeader/>
        </w:trPr>
        <w:tc>
          <w:tcPr>
            <w:tcW w:type="dxa" w:w="1728"/>
            <w:shd w:fill="1B365D" w:val="clear"/>
          </w:tcPr>
          <w:p>
            <w:pPr>
              <w:jc w:val="center"/>
            </w:pPr>
            <w:r>
              <w:rPr>
                <w:b/>
                <w:color w:val="FFFFFF"/>
              </w:rPr>
              <w:t>Wert</w:t>
            </w:r>
          </w:p>
        </w:tc>
        <w:tc>
          <w:tcPr>
            <w:tcW w:type="dxa" w:w="8352"/>
            <w:shd w:fill="1B365D" w:val="clear"/>
          </w:tcPr>
          <w:p>
            <w:r>
              <w:rPr>
                <w:b/>
                <w:color w:val="FFFFFF"/>
              </w:rPr>
              <w:t>Bedeutung</w:t>
            </w:r>
          </w:p>
        </w:tc>
      </w:tr>
      <w:tr>
        <w:trPr>
          <w:cantSplit/>
        </w:trPr>
        <w:tc>
          <w:tcPr>
            <w:tcW w:type="dxa" w:w="1728"/>
            <w:shd w:fill="F2F4F8" w:val="clear"/>
          </w:tcPr>
          <w:p>
            <w:pPr>
              <w:jc w:val="center"/>
            </w:pPr>
            <w:r>
              <w:rPr>
                <w:b/>
              </w:rPr>
              <w:t>1</w:t>
            </w:r>
          </w:p>
        </w:tc>
        <w:tc>
          <w:tcPr>
            <w:tcW w:type="dxa" w:w="8352"/>
            <w:shd w:fill="F2F4F8" w:val="clear"/>
          </w:tcPr>
          <w:p>
            <w:r>
              <w:t>stimme überhaupt nicht zu</w:t>
            </w:r>
          </w:p>
        </w:tc>
      </w:tr>
      <w:tr>
        <w:trPr>
          <w:cantSplit/>
        </w:trPr>
        <w:tc>
          <w:tcPr>
            <w:tcW w:type="dxa" w:w="1728"/>
          </w:tcPr>
          <w:p>
            <w:pPr>
              <w:jc w:val="center"/>
            </w:pPr>
            <w:r>
              <w:rPr>
                <w:b/>
              </w:rPr>
              <w:t>2</w:t>
            </w:r>
          </w:p>
        </w:tc>
        <w:tc>
          <w:tcPr>
            <w:tcW w:type="dxa" w:w="8352"/>
          </w:tcPr>
          <w:p>
            <w:r>
              <w:t>stimme eher nicht zu</w:t>
            </w:r>
          </w:p>
        </w:tc>
      </w:tr>
      <w:tr>
        <w:trPr>
          <w:cantSplit/>
        </w:trPr>
        <w:tc>
          <w:tcPr>
            <w:tcW w:type="dxa" w:w="1728"/>
            <w:shd w:fill="F2F4F8" w:val="clear"/>
          </w:tcPr>
          <w:p>
            <w:pPr>
              <w:jc w:val="center"/>
            </w:pPr>
            <w:r>
              <w:rPr>
                <w:b/>
              </w:rPr>
              <w:t>3</w:t>
            </w:r>
          </w:p>
        </w:tc>
        <w:tc>
          <w:tcPr>
            <w:tcW w:type="dxa" w:w="8352"/>
            <w:shd w:fill="F2F4F8" w:val="clear"/>
          </w:tcPr>
          <w:p>
            <w:r>
              <w:t>stimme weder zu noch nicht zu</w:t>
            </w:r>
          </w:p>
        </w:tc>
      </w:tr>
      <w:tr>
        <w:trPr>
          <w:cantSplit/>
        </w:trPr>
        <w:tc>
          <w:tcPr>
            <w:tcW w:type="dxa" w:w="1728"/>
          </w:tcPr>
          <w:p>
            <w:pPr>
              <w:jc w:val="center"/>
            </w:pPr>
            <w:r>
              <w:rPr>
                <w:b/>
              </w:rPr>
              <w:t>4</w:t>
            </w:r>
          </w:p>
        </w:tc>
        <w:tc>
          <w:tcPr>
            <w:tcW w:type="dxa" w:w="8352"/>
          </w:tcPr>
          <w:p>
            <w:r>
              <w:t>stimme eher zu</w:t>
            </w:r>
          </w:p>
        </w:tc>
      </w:tr>
      <w:tr>
        <w:trPr>
          <w:cantSplit/>
        </w:trPr>
        <w:tc>
          <w:tcPr>
            <w:tcW w:type="dxa" w:w="1728"/>
            <w:shd w:fill="F2F4F8" w:val="clear"/>
          </w:tcPr>
          <w:p>
            <w:pPr>
              <w:jc w:val="center"/>
            </w:pPr>
            <w:r>
              <w:rPr>
                <w:b/>
              </w:rPr>
              <w:t>5</w:t>
            </w:r>
          </w:p>
        </w:tc>
        <w:tc>
          <w:tcPr>
            <w:tcW w:type="dxa" w:w="8352"/>
            <w:shd w:fill="F2F4F8" w:val="clear"/>
          </w:tcPr>
          <w:p>
            <w:r>
              <w:t>stimme vollständig zu</w:t>
            </w:r>
          </w:p>
        </w:tc>
      </w:tr>
    </w:tbl>
    <w:p/>
    <w:p>
      <w:pPr>
        <w:spacing w:before="80" w:after="240"/>
      </w:pPr>
      <w:r>
        <w:rPr>
          <w:b/>
        </w:rPr>
        <w:t>Zusatzoption „k. B.“ (kann ich nicht beurteilen):</w:t>
        <w:br/>
      </w:r>
      <w:r>
        <w:t>Sollten Sie zu einer Aussage über keinerlei praktische Erfahrung oder keine ausreichende Beurteilungsgrundlage verfügen, wählen Sie bitte das Feld „k. B.“ aus. Dieses Feld fließt nicht in die numerische Auswertung ein.</w:t>
      </w:r>
    </w:p>
    <w:p>
      <w:pPr>
        <w:keepNext/>
        <w:spacing w:before="280" w:after="80"/>
      </w:pPr>
      <w:r>
        <w:rPr>
          <w:rFonts w:ascii="Arial" w:hAnsi="Arial"/>
          <w:b/>
          <w:color w:val="2F5496"/>
          <w:sz w:val="26"/>
        </w:rPr>
        <w:t>Fragebogen-Items nach Bereichen</w:t>
      </w:r>
    </w:p>
    <w:p>
      <w:pPr>
        <w:keepNext/>
        <w:spacing w:before="200" w:after="40"/>
      </w:pPr>
      <w:r>
        <w:rPr>
          <w:rFonts w:ascii="Arial" w:hAnsi="Arial"/>
          <w:b/>
          <w:color w:val="333333"/>
          <w:sz w:val="23"/>
        </w:rPr>
        <w:t>Bereich A: Praktische Anwendung</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864"/>
            <w:shd w:fill="2F5496" w:val="clear"/>
          </w:tcPr>
          <w:p>
            <w:pPr>
              <w:jc w:val="center"/>
            </w:pPr>
            <w:r>
              <w:rPr>
                <w:b/>
                <w:color w:val="FFFFFF"/>
              </w:rPr>
              <w:t>ID</w:t>
            </w:r>
          </w:p>
        </w:tc>
        <w:tc>
          <w:tcPr>
            <w:tcW w:type="dxa" w:w="6048"/>
            <w:shd w:fill="2F5496" w:val="clear"/>
          </w:tcPr>
          <w:p>
            <w:pPr>
              <w:jc w:val="left"/>
            </w:pPr>
            <w:r>
              <w:rPr>
                <w:b/>
                <w:color w:val="FFFFFF"/>
              </w:rPr>
              <w:t>Aussage</w:t>
            </w:r>
          </w:p>
        </w:tc>
        <w:tc>
          <w:tcPr>
            <w:tcW w:type="dxa" w:w="504"/>
            <w:shd w:fill="2F5496" w:val="clear"/>
          </w:tcPr>
          <w:p>
            <w:pPr>
              <w:jc w:val="center"/>
            </w:pPr>
            <w:r>
              <w:rPr>
                <w:b/>
                <w:color w:val="FFFFFF"/>
              </w:rPr>
              <w:t>1</w:t>
            </w:r>
          </w:p>
        </w:tc>
        <w:tc>
          <w:tcPr>
            <w:tcW w:type="dxa" w:w="504"/>
            <w:shd w:fill="2F5496" w:val="clear"/>
          </w:tcPr>
          <w:p>
            <w:pPr>
              <w:jc w:val="center"/>
            </w:pPr>
            <w:r>
              <w:rPr>
                <w:b/>
                <w:color w:val="FFFFFF"/>
              </w:rPr>
              <w:t>2</w:t>
            </w:r>
          </w:p>
        </w:tc>
        <w:tc>
          <w:tcPr>
            <w:tcW w:type="dxa" w:w="504"/>
            <w:shd w:fill="2F5496" w:val="clear"/>
          </w:tcPr>
          <w:p>
            <w:pPr>
              <w:jc w:val="center"/>
            </w:pPr>
            <w:r>
              <w:rPr>
                <w:b/>
                <w:color w:val="FFFFFF"/>
              </w:rPr>
              <w:t>3</w:t>
            </w:r>
          </w:p>
        </w:tc>
        <w:tc>
          <w:tcPr>
            <w:tcW w:type="dxa" w:w="504"/>
            <w:shd w:fill="2F5496" w:val="clear"/>
          </w:tcPr>
          <w:p>
            <w:pPr>
              <w:jc w:val="center"/>
            </w:pPr>
            <w:r>
              <w:rPr>
                <w:b/>
                <w:color w:val="FFFFFF"/>
              </w:rPr>
              <w:t>4</w:t>
            </w:r>
          </w:p>
        </w:tc>
        <w:tc>
          <w:tcPr>
            <w:tcW w:type="dxa" w:w="504"/>
            <w:shd w:fill="2F5496" w:val="clear"/>
          </w:tcPr>
          <w:p>
            <w:pPr>
              <w:jc w:val="center"/>
            </w:pPr>
            <w:r>
              <w:rPr>
                <w:b/>
                <w:color w:val="FFFFFF"/>
              </w:rPr>
              <w:t>5</w:t>
            </w:r>
          </w:p>
        </w:tc>
        <w:tc>
          <w:tcPr>
            <w:tcW w:type="dxa" w:w="648"/>
            <w:shd w:fill="2F5496" w:val="clear"/>
          </w:tcPr>
          <w:p>
            <w:pPr>
              <w:jc w:val="center"/>
            </w:pPr>
            <w:r>
              <w:rPr>
                <w:b/>
                <w:color w:val="FFFFFF"/>
              </w:rPr>
              <w:t>k. B.</w:t>
            </w:r>
          </w:p>
        </w:tc>
      </w:tr>
      <w:tr>
        <w:trPr>
          <w:cantSplit/>
        </w:trPr>
        <w:tc>
          <w:tcPr>
            <w:tcW w:type="dxa" w:w="864"/>
          </w:tcPr>
          <w:p>
            <w:pPr>
              <w:jc w:val="center"/>
            </w:pPr>
            <w:r>
              <w:rPr>
                <w:b/>
              </w:rPr>
              <w:t>A1</w:t>
            </w:r>
          </w:p>
        </w:tc>
        <w:tc>
          <w:tcPr>
            <w:tcW w:type="dxa" w:w="6048"/>
          </w:tcPr>
          <w:p>
            <w:r>
              <w:t>Ich traue mir zu, generative KI-Tools sicher zu bedienen, um meine alltäglichen Arbeitsaufgaben zu erleichtern.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r>
        <w:trPr>
          <w:cantSplit/>
        </w:trPr>
        <w:tc>
          <w:tcPr>
            <w:tcW w:type="dxa" w:w="864"/>
            <w:shd w:fill="F9FAFC" w:val="clear"/>
          </w:tcPr>
          <w:p>
            <w:pPr>
              <w:jc w:val="center"/>
            </w:pPr>
            <w:r>
              <w:rPr>
                <w:b/>
              </w:rPr>
              <w:t>A2</w:t>
            </w:r>
          </w:p>
        </w:tc>
        <w:tc>
          <w:tcPr>
            <w:tcW w:type="dxa" w:w="6048"/>
            <w:shd w:fill="F9FAFC" w:val="clear"/>
          </w:tcPr>
          <w:p>
            <w:r>
              <w:t>Ich kann gezielte Eingaben (Prompts) formulieren, um brauchbare Textentwürfe zu erhalten.</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648"/>
            <w:shd w:fill="F9FAFC" w:val="clear"/>
          </w:tcPr>
          <w:p>
            <w:pPr>
              <w:jc w:val="center"/>
            </w:pPr>
            <w:r>
              <w:rPr>
                <w:sz w:val="22"/>
              </w:rPr>
              <w:t>☐</w:t>
            </w:r>
          </w:p>
        </w:tc>
      </w:tr>
      <w:tr>
        <w:trPr>
          <w:cantSplit/>
        </w:trPr>
        <w:tc>
          <w:tcPr>
            <w:tcW w:type="dxa" w:w="864"/>
          </w:tcPr>
          <w:p>
            <w:pPr>
              <w:jc w:val="center"/>
            </w:pPr>
            <w:r>
              <w:rPr>
                <w:b/>
              </w:rPr>
              <w:t>A3</w:t>
            </w:r>
          </w:p>
        </w:tc>
        <w:tc>
          <w:tcPr>
            <w:tcW w:type="dxa" w:w="6048"/>
          </w:tcPr>
          <w:p>
            <w:r>
              <w:t>Ich traue mir zu, generative KI wirkungsvoll einzusetzen, um neue Ideen für meine Arbeitsaufgaben zu entwickeln.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bl>
    <w:p/>
    <w:p>
      <w:pPr>
        <w:keepNext/>
        <w:spacing w:before="200" w:after="40"/>
      </w:pPr>
      <w:r>
        <w:rPr>
          <w:rFonts w:ascii="Arial" w:hAnsi="Arial"/>
          <w:b/>
          <w:color w:val="333333"/>
          <w:sz w:val="23"/>
        </w:rPr>
        <w:t>Bereich B: Kritische Beurteilung von Möglichkeiten, Grenzen und Ergebnissen</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864"/>
            <w:shd w:fill="2F5496" w:val="clear"/>
          </w:tcPr>
          <w:p>
            <w:pPr>
              <w:jc w:val="center"/>
            </w:pPr>
            <w:r>
              <w:rPr>
                <w:b/>
                <w:color w:val="FFFFFF"/>
              </w:rPr>
              <w:t>ID</w:t>
            </w:r>
          </w:p>
        </w:tc>
        <w:tc>
          <w:tcPr>
            <w:tcW w:type="dxa" w:w="6048"/>
            <w:shd w:fill="2F5496" w:val="clear"/>
          </w:tcPr>
          <w:p>
            <w:pPr>
              <w:jc w:val="left"/>
            </w:pPr>
            <w:r>
              <w:rPr>
                <w:b/>
                <w:color w:val="FFFFFF"/>
              </w:rPr>
              <w:t>Aussage</w:t>
            </w:r>
          </w:p>
        </w:tc>
        <w:tc>
          <w:tcPr>
            <w:tcW w:type="dxa" w:w="504"/>
            <w:shd w:fill="2F5496" w:val="clear"/>
          </w:tcPr>
          <w:p>
            <w:pPr>
              <w:jc w:val="center"/>
            </w:pPr>
            <w:r>
              <w:rPr>
                <w:b/>
                <w:color w:val="FFFFFF"/>
              </w:rPr>
              <w:t>1</w:t>
            </w:r>
          </w:p>
        </w:tc>
        <w:tc>
          <w:tcPr>
            <w:tcW w:type="dxa" w:w="504"/>
            <w:shd w:fill="2F5496" w:val="clear"/>
          </w:tcPr>
          <w:p>
            <w:pPr>
              <w:jc w:val="center"/>
            </w:pPr>
            <w:r>
              <w:rPr>
                <w:b/>
                <w:color w:val="FFFFFF"/>
              </w:rPr>
              <w:t>2</w:t>
            </w:r>
          </w:p>
        </w:tc>
        <w:tc>
          <w:tcPr>
            <w:tcW w:type="dxa" w:w="504"/>
            <w:shd w:fill="2F5496" w:val="clear"/>
          </w:tcPr>
          <w:p>
            <w:pPr>
              <w:jc w:val="center"/>
            </w:pPr>
            <w:r>
              <w:rPr>
                <w:b/>
                <w:color w:val="FFFFFF"/>
              </w:rPr>
              <w:t>3</w:t>
            </w:r>
          </w:p>
        </w:tc>
        <w:tc>
          <w:tcPr>
            <w:tcW w:type="dxa" w:w="504"/>
            <w:shd w:fill="2F5496" w:val="clear"/>
          </w:tcPr>
          <w:p>
            <w:pPr>
              <w:jc w:val="center"/>
            </w:pPr>
            <w:r>
              <w:rPr>
                <w:b/>
                <w:color w:val="FFFFFF"/>
              </w:rPr>
              <w:t>4</w:t>
            </w:r>
          </w:p>
        </w:tc>
        <w:tc>
          <w:tcPr>
            <w:tcW w:type="dxa" w:w="504"/>
            <w:shd w:fill="2F5496" w:val="clear"/>
          </w:tcPr>
          <w:p>
            <w:pPr>
              <w:jc w:val="center"/>
            </w:pPr>
            <w:r>
              <w:rPr>
                <w:b/>
                <w:color w:val="FFFFFF"/>
              </w:rPr>
              <w:t>5</w:t>
            </w:r>
          </w:p>
        </w:tc>
        <w:tc>
          <w:tcPr>
            <w:tcW w:type="dxa" w:w="648"/>
            <w:shd w:fill="2F5496" w:val="clear"/>
          </w:tcPr>
          <w:p>
            <w:pPr>
              <w:jc w:val="center"/>
            </w:pPr>
            <w:r>
              <w:rPr>
                <w:b/>
                <w:color w:val="FFFFFF"/>
              </w:rPr>
              <w:t>k. B.</w:t>
            </w:r>
          </w:p>
        </w:tc>
      </w:tr>
      <w:tr>
        <w:trPr>
          <w:cantSplit/>
        </w:trPr>
        <w:tc>
          <w:tcPr>
            <w:tcW w:type="dxa" w:w="864"/>
          </w:tcPr>
          <w:p>
            <w:pPr>
              <w:jc w:val="center"/>
            </w:pPr>
            <w:r>
              <w:rPr>
                <w:b/>
              </w:rPr>
              <w:t>B1</w:t>
            </w:r>
          </w:p>
        </w:tc>
        <w:tc>
          <w:tcPr>
            <w:tcW w:type="dxa" w:w="6048"/>
          </w:tcPr>
          <w:p>
            <w:r>
              <w:t>Ich kann eigenständig einschätzen, wo die fachlichen Einsatzgrenzen generativer KI bei meinen Arbeitsaufgaben liegen.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r>
        <w:trPr>
          <w:cantSplit/>
        </w:trPr>
        <w:tc>
          <w:tcPr>
            <w:tcW w:type="dxa" w:w="864"/>
            <w:shd w:fill="F9FAFC" w:val="clear"/>
          </w:tcPr>
          <w:p>
            <w:pPr>
              <w:jc w:val="center"/>
            </w:pPr>
            <w:r>
              <w:rPr>
                <w:b/>
              </w:rPr>
              <w:t>B2</w:t>
            </w:r>
          </w:p>
        </w:tc>
        <w:tc>
          <w:tcPr>
            <w:tcW w:type="dxa" w:w="6048"/>
            <w:shd w:fill="F9FAFC" w:val="clear"/>
          </w:tcPr>
          <w:p>
            <w:r>
              <w:t>Ich kann zuverlässig beurteilen, ob von einer generativen KI generierte Informationen sachlich zutreffen.</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648"/>
            <w:shd w:fill="F9FAFC" w:val="clear"/>
          </w:tcPr>
          <w:p>
            <w:pPr>
              <w:jc w:val="center"/>
            </w:pPr>
            <w:r>
              <w:rPr>
                <w:sz w:val="22"/>
              </w:rPr>
              <w:t>☐</w:t>
            </w:r>
          </w:p>
        </w:tc>
      </w:tr>
      <w:tr>
        <w:trPr>
          <w:cantSplit/>
        </w:trPr>
        <w:tc>
          <w:tcPr>
            <w:tcW w:type="dxa" w:w="864"/>
          </w:tcPr>
          <w:p>
            <w:pPr>
              <w:jc w:val="center"/>
            </w:pPr>
            <w:r>
              <w:rPr>
                <w:b/>
              </w:rPr>
              <w:t>B3</w:t>
            </w:r>
          </w:p>
        </w:tc>
        <w:tc>
          <w:tcPr>
            <w:tcW w:type="dxa" w:w="6048"/>
          </w:tcPr>
          <w:p>
            <w:r>
              <w:t>Ich traue mir zu, frei erfundene Angaben (Halluzinationen) in KI-generierten Texten zu erkennen.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bl>
    <w:p/>
    <w:p>
      <w:pPr>
        <w:keepNext/>
        <w:spacing w:before="200" w:after="40"/>
      </w:pPr>
      <w:r>
        <w:rPr>
          <w:rFonts w:ascii="Arial" w:hAnsi="Arial"/>
          <w:b/>
          <w:color w:val="333333"/>
          <w:sz w:val="23"/>
        </w:rPr>
        <w:t>Bereich L: Lern- und Problemlöse-Selbstwirksamkeit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864"/>
            <w:shd w:fill="2F5496" w:val="clear"/>
          </w:tcPr>
          <w:p>
            <w:pPr>
              <w:jc w:val="center"/>
            </w:pPr>
            <w:r>
              <w:rPr>
                <w:b/>
                <w:color w:val="FFFFFF"/>
              </w:rPr>
              <w:t>ID</w:t>
            </w:r>
          </w:p>
        </w:tc>
        <w:tc>
          <w:tcPr>
            <w:tcW w:type="dxa" w:w="6048"/>
            <w:shd w:fill="2F5496" w:val="clear"/>
          </w:tcPr>
          <w:p>
            <w:pPr>
              <w:jc w:val="left"/>
            </w:pPr>
            <w:r>
              <w:rPr>
                <w:b/>
                <w:color w:val="FFFFFF"/>
              </w:rPr>
              <w:t>Aussage</w:t>
            </w:r>
          </w:p>
        </w:tc>
        <w:tc>
          <w:tcPr>
            <w:tcW w:type="dxa" w:w="504"/>
            <w:shd w:fill="2F5496" w:val="clear"/>
          </w:tcPr>
          <w:p>
            <w:pPr>
              <w:jc w:val="center"/>
            </w:pPr>
            <w:r>
              <w:rPr>
                <w:b/>
                <w:color w:val="FFFFFF"/>
              </w:rPr>
              <w:t>1</w:t>
            </w:r>
          </w:p>
        </w:tc>
        <w:tc>
          <w:tcPr>
            <w:tcW w:type="dxa" w:w="504"/>
            <w:shd w:fill="2F5496" w:val="clear"/>
          </w:tcPr>
          <w:p>
            <w:pPr>
              <w:jc w:val="center"/>
            </w:pPr>
            <w:r>
              <w:rPr>
                <w:b/>
                <w:color w:val="FFFFFF"/>
              </w:rPr>
              <w:t>2</w:t>
            </w:r>
          </w:p>
        </w:tc>
        <w:tc>
          <w:tcPr>
            <w:tcW w:type="dxa" w:w="504"/>
            <w:shd w:fill="2F5496" w:val="clear"/>
          </w:tcPr>
          <w:p>
            <w:pPr>
              <w:jc w:val="center"/>
            </w:pPr>
            <w:r>
              <w:rPr>
                <w:b/>
                <w:color w:val="FFFFFF"/>
              </w:rPr>
              <w:t>3</w:t>
            </w:r>
          </w:p>
        </w:tc>
        <w:tc>
          <w:tcPr>
            <w:tcW w:type="dxa" w:w="504"/>
            <w:shd w:fill="2F5496" w:val="clear"/>
          </w:tcPr>
          <w:p>
            <w:pPr>
              <w:jc w:val="center"/>
            </w:pPr>
            <w:r>
              <w:rPr>
                <w:b/>
                <w:color w:val="FFFFFF"/>
              </w:rPr>
              <w:t>4</w:t>
            </w:r>
          </w:p>
        </w:tc>
        <w:tc>
          <w:tcPr>
            <w:tcW w:type="dxa" w:w="504"/>
            <w:shd w:fill="2F5496" w:val="clear"/>
          </w:tcPr>
          <w:p>
            <w:pPr>
              <w:jc w:val="center"/>
            </w:pPr>
            <w:r>
              <w:rPr>
                <w:b/>
                <w:color w:val="FFFFFF"/>
              </w:rPr>
              <w:t>5</w:t>
            </w:r>
          </w:p>
        </w:tc>
        <w:tc>
          <w:tcPr>
            <w:tcW w:type="dxa" w:w="648"/>
            <w:shd w:fill="2F5496" w:val="clear"/>
          </w:tcPr>
          <w:p>
            <w:pPr>
              <w:jc w:val="center"/>
            </w:pPr>
            <w:r>
              <w:rPr>
                <w:b/>
                <w:color w:val="FFFFFF"/>
              </w:rPr>
              <w:t>k. B.</w:t>
            </w:r>
          </w:p>
        </w:tc>
      </w:tr>
      <w:tr>
        <w:trPr>
          <w:cantSplit/>
        </w:trPr>
        <w:tc>
          <w:tcPr>
            <w:tcW w:type="dxa" w:w="864"/>
          </w:tcPr>
          <w:p>
            <w:pPr>
              <w:jc w:val="center"/>
            </w:pPr>
            <w:r>
              <w:rPr>
                <w:b/>
              </w:rPr>
              <w:t>L1</w:t>
            </w:r>
          </w:p>
        </w:tc>
        <w:tc>
          <w:tcPr>
            <w:tcW w:type="dxa" w:w="6048"/>
          </w:tcPr>
          <w:p>
            <w:r>
              <w:t>Wenn ein generatives KI-Tool unerwartete Antworten liefert, traue ich mir zu, selbstständig eine Lösung zu finden.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r>
        <w:trPr>
          <w:cantSplit/>
        </w:trPr>
        <w:tc>
          <w:tcPr>
            <w:tcW w:type="dxa" w:w="864"/>
            <w:shd w:fill="F9FAFC" w:val="clear"/>
          </w:tcPr>
          <w:p>
            <w:pPr>
              <w:jc w:val="center"/>
            </w:pPr>
            <w:r>
              <w:rPr>
                <w:b/>
              </w:rPr>
              <w:t>L2</w:t>
            </w:r>
          </w:p>
        </w:tc>
        <w:tc>
          <w:tcPr>
            <w:tcW w:type="dxa" w:w="6048"/>
            <w:shd w:fill="F9FAFC" w:val="clear"/>
          </w:tcPr>
          <w:p>
            <w:r>
              <w:t>Ich traue mir zu, mich eigenständig in neue Funktionen oder Aktualisierungen generativer KI-Systeme einzuarbeiten.</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648"/>
            <w:shd w:fill="F9FAFC" w:val="clear"/>
          </w:tcPr>
          <w:p>
            <w:pPr>
              <w:jc w:val="center"/>
            </w:pPr>
            <w:r>
              <w:rPr>
                <w:sz w:val="22"/>
              </w:rPr>
              <w:t>☐</w:t>
            </w:r>
          </w:p>
        </w:tc>
      </w:tr>
      <w:tr>
        <w:trPr>
          <w:cantSplit/>
        </w:trPr>
        <w:tc>
          <w:tcPr>
            <w:tcW w:type="dxa" w:w="864"/>
          </w:tcPr>
          <w:p>
            <w:pPr>
              <w:jc w:val="center"/>
            </w:pPr>
            <w:r>
              <w:rPr>
                <w:b/>
              </w:rPr>
              <w:t>L3</w:t>
            </w:r>
          </w:p>
        </w:tc>
        <w:tc>
          <w:tcPr>
            <w:tcW w:type="dxa" w:w="6048"/>
          </w:tcPr>
          <w:p>
            <w:r>
              <w:t>Ich kann auftretende Probleme bei Texteingaben (Prompts) durch eigenes Ausprobieren beheben.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bl>
    <w:p/>
    <w:p>
      <w:pPr>
        <w:keepNext/>
        <w:spacing w:before="200" w:after="40"/>
      </w:pPr>
      <w:r>
        <w:rPr>
          <w:rFonts w:ascii="Arial" w:hAnsi="Arial"/>
          <w:b/>
          <w:color w:val="333333"/>
          <w:sz w:val="23"/>
        </w:rPr>
        <w:t>Bereich V: Vertrauen in die KI</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864"/>
            <w:shd w:fill="2F5496" w:val="clear"/>
          </w:tcPr>
          <w:p>
            <w:pPr>
              <w:jc w:val="center"/>
            </w:pPr>
            <w:r>
              <w:rPr>
                <w:b/>
                <w:color w:val="FFFFFF"/>
              </w:rPr>
              <w:t>ID</w:t>
            </w:r>
          </w:p>
        </w:tc>
        <w:tc>
          <w:tcPr>
            <w:tcW w:type="dxa" w:w="6048"/>
            <w:shd w:fill="2F5496" w:val="clear"/>
          </w:tcPr>
          <w:p>
            <w:pPr>
              <w:jc w:val="left"/>
            </w:pPr>
            <w:r>
              <w:rPr>
                <w:b/>
                <w:color w:val="FFFFFF"/>
              </w:rPr>
              <w:t>Aussage</w:t>
            </w:r>
          </w:p>
        </w:tc>
        <w:tc>
          <w:tcPr>
            <w:tcW w:type="dxa" w:w="504"/>
            <w:shd w:fill="2F5496" w:val="clear"/>
          </w:tcPr>
          <w:p>
            <w:pPr>
              <w:jc w:val="center"/>
            </w:pPr>
            <w:r>
              <w:rPr>
                <w:b/>
                <w:color w:val="FFFFFF"/>
              </w:rPr>
              <w:t>1</w:t>
            </w:r>
          </w:p>
        </w:tc>
        <w:tc>
          <w:tcPr>
            <w:tcW w:type="dxa" w:w="504"/>
            <w:shd w:fill="2F5496" w:val="clear"/>
          </w:tcPr>
          <w:p>
            <w:pPr>
              <w:jc w:val="center"/>
            </w:pPr>
            <w:r>
              <w:rPr>
                <w:b/>
                <w:color w:val="FFFFFF"/>
              </w:rPr>
              <w:t>2</w:t>
            </w:r>
          </w:p>
        </w:tc>
        <w:tc>
          <w:tcPr>
            <w:tcW w:type="dxa" w:w="504"/>
            <w:shd w:fill="2F5496" w:val="clear"/>
          </w:tcPr>
          <w:p>
            <w:pPr>
              <w:jc w:val="center"/>
            </w:pPr>
            <w:r>
              <w:rPr>
                <w:b/>
                <w:color w:val="FFFFFF"/>
              </w:rPr>
              <w:t>3</w:t>
            </w:r>
          </w:p>
        </w:tc>
        <w:tc>
          <w:tcPr>
            <w:tcW w:type="dxa" w:w="504"/>
            <w:shd w:fill="2F5496" w:val="clear"/>
          </w:tcPr>
          <w:p>
            <w:pPr>
              <w:jc w:val="center"/>
            </w:pPr>
            <w:r>
              <w:rPr>
                <w:b/>
                <w:color w:val="FFFFFF"/>
              </w:rPr>
              <w:t>4</w:t>
            </w:r>
          </w:p>
        </w:tc>
        <w:tc>
          <w:tcPr>
            <w:tcW w:type="dxa" w:w="504"/>
            <w:shd w:fill="2F5496" w:val="clear"/>
          </w:tcPr>
          <w:p>
            <w:pPr>
              <w:jc w:val="center"/>
            </w:pPr>
            <w:r>
              <w:rPr>
                <w:b/>
                <w:color w:val="FFFFFF"/>
              </w:rPr>
              <w:t>5</w:t>
            </w:r>
          </w:p>
        </w:tc>
        <w:tc>
          <w:tcPr>
            <w:tcW w:type="dxa" w:w="648"/>
            <w:shd w:fill="2F5496" w:val="clear"/>
          </w:tcPr>
          <w:p>
            <w:pPr>
              <w:jc w:val="center"/>
            </w:pPr>
            <w:r>
              <w:rPr>
                <w:b/>
                <w:color w:val="FFFFFF"/>
              </w:rPr>
              <w:t>k. B.</w:t>
            </w:r>
          </w:p>
        </w:tc>
      </w:tr>
      <w:tr>
        <w:trPr>
          <w:cantSplit/>
        </w:trPr>
        <w:tc>
          <w:tcPr>
            <w:tcW w:type="dxa" w:w="864"/>
          </w:tcPr>
          <w:p>
            <w:pPr>
              <w:jc w:val="center"/>
            </w:pPr>
            <w:r>
              <w:rPr>
                <w:b/>
              </w:rPr>
              <w:t>V1</w:t>
            </w:r>
          </w:p>
        </w:tc>
        <w:tc>
          <w:tcPr>
            <w:tcW w:type="dxa" w:w="6048"/>
          </w:tcPr>
          <w:p>
            <w:r>
              <w:t>Ich vertraue den Antworten generativer KI als Arbeitsgrundlage für meine Aufgaben.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r>
        <w:trPr>
          <w:cantSplit/>
        </w:trPr>
        <w:tc>
          <w:tcPr>
            <w:tcW w:type="dxa" w:w="864"/>
            <w:shd w:fill="F9FAFC" w:val="clear"/>
          </w:tcPr>
          <w:p>
            <w:pPr>
              <w:jc w:val="center"/>
            </w:pPr>
            <w:r>
              <w:rPr>
                <w:b/>
              </w:rPr>
              <w:t>V2</w:t>
            </w:r>
          </w:p>
        </w:tc>
        <w:tc>
          <w:tcPr>
            <w:tcW w:type="dxa" w:w="6048"/>
            <w:shd w:fill="F9FAFC" w:val="clear"/>
          </w:tcPr>
          <w:p>
            <w:r>
              <w:t>Ich schätze generative KI als ein verlässliches Hilfsmittel zur Entlastung bei meinen Arbeitsaufgaben ein.</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648"/>
            <w:shd w:fill="F9FAFC" w:val="clear"/>
          </w:tcPr>
          <w:p>
            <w:pPr>
              <w:jc w:val="center"/>
            </w:pPr>
            <w:r>
              <w:rPr>
                <w:sz w:val="22"/>
              </w:rPr>
              <w:t>☐</w:t>
            </w:r>
          </w:p>
        </w:tc>
      </w:tr>
      <w:tr>
        <w:trPr>
          <w:cantSplit/>
        </w:trPr>
        <w:tc>
          <w:tcPr>
            <w:tcW w:type="dxa" w:w="864"/>
          </w:tcPr>
          <w:p>
            <w:pPr>
              <w:jc w:val="center"/>
            </w:pPr>
            <w:r>
              <w:rPr>
                <w:b/>
              </w:rPr>
              <w:t>V3</w:t>
            </w:r>
          </w:p>
        </w:tc>
        <w:tc>
          <w:tcPr>
            <w:tcW w:type="dxa" w:w="6048"/>
          </w:tcPr>
          <w:p>
            <w:r>
              <w:t>Ich bin bereit, mich bei der Erstellung von Zusammenfassungen auf die Zuarbeit einer generativen KI zu stützen.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bl>
    <w:p/>
    <w:p>
      <w:pPr>
        <w:keepNext/>
        <w:spacing w:before="200" w:after="40"/>
      </w:pPr>
      <w:r>
        <w:rPr>
          <w:rFonts w:ascii="Arial" w:hAnsi="Arial"/>
          <w:b/>
          <w:color w:val="333333"/>
          <w:sz w:val="23"/>
        </w:rPr>
        <w:t>Bereich E: Ethische Beurteilungsfähigkeit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864"/>
            <w:shd w:fill="2F5496" w:val="clear"/>
          </w:tcPr>
          <w:p>
            <w:pPr>
              <w:jc w:val="center"/>
            </w:pPr>
            <w:r>
              <w:rPr>
                <w:b/>
                <w:color w:val="FFFFFF"/>
              </w:rPr>
              <w:t>ID</w:t>
            </w:r>
          </w:p>
        </w:tc>
        <w:tc>
          <w:tcPr>
            <w:tcW w:type="dxa" w:w="6048"/>
            <w:shd w:fill="2F5496" w:val="clear"/>
          </w:tcPr>
          <w:p>
            <w:pPr>
              <w:jc w:val="left"/>
            </w:pPr>
            <w:r>
              <w:rPr>
                <w:b/>
                <w:color w:val="FFFFFF"/>
              </w:rPr>
              <w:t>Aussage</w:t>
            </w:r>
          </w:p>
        </w:tc>
        <w:tc>
          <w:tcPr>
            <w:tcW w:type="dxa" w:w="504"/>
            <w:shd w:fill="2F5496" w:val="clear"/>
          </w:tcPr>
          <w:p>
            <w:pPr>
              <w:jc w:val="center"/>
            </w:pPr>
            <w:r>
              <w:rPr>
                <w:b/>
                <w:color w:val="FFFFFF"/>
              </w:rPr>
              <w:t>1</w:t>
            </w:r>
          </w:p>
        </w:tc>
        <w:tc>
          <w:tcPr>
            <w:tcW w:type="dxa" w:w="504"/>
            <w:shd w:fill="2F5496" w:val="clear"/>
          </w:tcPr>
          <w:p>
            <w:pPr>
              <w:jc w:val="center"/>
            </w:pPr>
            <w:r>
              <w:rPr>
                <w:b/>
                <w:color w:val="FFFFFF"/>
              </w:rPr>
              <w:t>2</w:t>
            </w:r>
          </w:p>
        </w:tc>
        <w:tc>
          <w:tcPr>
            <w:tcW w:type="dxa" w:w="504"/>
            <w:shd w:fill="2F5496" w:val="clear"/>
          </w:tcPr>
          <w:p>
            <w:pPr>
              <w:jc w:val="center"/>
            </w:pPr>
            <w:r>
              <w:rPr>
                <w:b/>
                <w:color w:val="FFFFFF"/>
              </w:rPr>
              <w:t>3</w:t>
            </w:r>
          </w:p>
        </w:tc>
        <w:tc>
          <w:tcPr>
            <w:tcW w:type="dxa" w:w="504"/>
            <w:shd w:fill="2F5496" w:val="clear"/>
          </w:tcPr>
          <w:p>
            <w:pPr>
              <w:jc w:val="center"/>
            </w:pPr>
            <w:r>
              <w:rPr>
                <w:b/>
                <w:color w:val="FFFFFF"/>
              </w:rPr>
              <w:t>4</w:t>
            </w:r>
          </w:p>
        </w:tc>
        <w:tc>
          <w:tcPr>
            <w:tcW w:type="dxa" w:w="504"/>
            <w:shd w:fill="2F5496" w:val="clear"/>
          </w:tcPr>
          <w:p>
            <w:pPr>
              <w:jc w:val="center"/>
            </w:pPr>
            <w:r>
              <w:rPr>
                <w:b/>
                <w:color w:val="FFFFFF"/>
              </w:rPr>
              <w:t>5</w:t>
            </w:r>
          </w:p>
        </w:tc>
        <w:tc>
          <w:tcPr>
            <w:tcW w:type="dxa" w:w="648"/>
            <w:shd w:fill="2F5496" w:val="clear"/>
          </w:tcPr>
          <w:p>
            <w:pPr>
              <w:jc w:val="center"/>
            </w:pPr>
            <w:r>
              <w:rPr>
                <w:b/>
                <w:color w:val="FFFFFF"/>
              </w:rPr>
              <w:t>k. B.</w:t>
            </w:r>
          </w:p>
        </w:tc>
      </w:tr>
      <w:tr>
        <w:trPr>
          <w:cantSplit/>
        </w:trPr>
        <w:tc>
          <w:tcPr>
            <w:tcW w:type="dxa" w:w="864"/>
          </w:tcPr>
          <w:p>
            <w:pPr>
              <w:jc w:val="center"/>
            </w:pPr>
            <w:r>
              <w:rPr>
                <w:b/>
              </w:rPr>
              <w:t>E1</w:t>
            </w:r>
          </w:p>
        </w:tc>
        <w:tc>
          <w:tcPr>
            <w:tcW w:type="dxa" w:w="6048"/>
          </w:tcPr>
          <w:p>
            <w:r>
              <w:t>Ich kann einschätzen, welche Folgen der betriebliche Einsatz generativer KI für andere Personen im Unternehmen hat.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r>
        <w:trPr>
          <w:cantSplit/>
        </w:trPr>
        <w:tc>
          <w:tcPr>
            <w:tcW w:type="dxa" w:w="864"/>
            <w:shd w:fill="F9FAFC" w:val="clear"/>
          </w:tcPr>
          <w:p>
            <w:pPr>
              <w:jc w:val="center"/>
            </w:pPr>
            <w:r>
              <w:rPr>
                <w:b/>
              </w:rPr>
              <w:t>E2</w:t>
            </w:r>
          </w:p>
        </w:tc>
        <w:tc>
          <w:tcPr>
            <w:tcW w:type="dxa" w:w="6048"/>
            <w:shd w:fill="F9FAFC" w:val="clear"/>
          </w:tcPr>
          <w:p>
            <w:r>
              <w:t>Ich beziehe ethische Überlegungen ein, wenn ich entscheide, ob ich KI-generierte Texte beruflich verwende.</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648"/>
            <w:shd w:fill="F9FAFC" w:val="clear"/>
          </w:tcPr>
          <w:p>
            <w:pPr>
              <w:jc w:val="center"/>
            </w:pPr>
            <w:r>
              <w:rPr>
                <w:sz w:val="22"/>
              </w:rPr>
              <w:t>☐</w:t>
            </w:r>
          </w:p>
        </w:tc>
      </w:tr>
      <w:tr>
        <w:trPr>
          <w:cantSplit/>
        </w:trPr>
        <w:tc>
          <w:tcPr>
            <w:tcW w:type="dxa" w:w="864"/>
          </w:tcPr>
          <w:p>
            <w:pPr>
              <w:jc w:val="center"/>
            </w:pPr>
            <w:r>
              <w:rPr>
                <w:b/>
              </w:rPr>
              <w:t>E3</w:t>
            </w:r>
          </w:p>
        </w:tc>
        <w:tc>
          <w:tcPr>
            <w:tcW w:type="dxa" w:w="6048"/>
          </w:tcPr>
          <w:p>
            <w:r>
              <w:t>Ich kann erkennen, ob von generativer KI erstellte Texte einseitige Darstellungen oder Vorurteile enthalten.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bl>
    <w:p/>
    <w:p>
      <w:pPr>
        <w:keepNext/>
        <w:spacing w:before="200" w:after="40"/>
      </w:pPr>
      <w:r>
        <w:rPr>
          <w:rFonts w:ascii="Arial" w:hAnsi="Arial"/>
          <w:b/>
          <w:color w:val="333333"/>
          <w:sz w:val="23"/>
        </w:rPr>
        <w:t>Bereich N: Nutzungsabsicht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864"/>
            <w:shd w:fill="2F5496" w:val="clear"/>
          </w:tcPr>
          <w:p>
            <w:pPr>
              <w:jc w:val="center"/>
            </w:pPr>
            <w:r>
              <w:rPr>
                <w:b/>
                <w:color w:val="FFFFFF"/>
              </w:rPr>
              <w:t>ID</w:t>
            </w:r>
          </w:p>
        </w:tc>
        <w:tc>
          <w:tcPr>
            <w:tcW w:type="dxa" w:w="6048"/>
            <w:shd w:fill="2F5496" w:val="clear"/>
          </w:tcPr>
          <w:p>
            <w:pPr>
              <w:jc w:val="left"/>
            </w:pPr>
            <w:r>
              <w:rPr>
                <w:b/>
                <w:color w:val="FFFFFF"/>
              </w:rPr>
              <w:t>Aussage</w:t>
            </w:r>
          </w:p>
        </w:tc>
        <w:tc>
          <w:tcPr>
            <w:tcW w:type="dxa" w:w="504"/>
            <w:shd w:fill="2F5496" w:val="clear"/>
          </w:tcPr>
          <w:p>
            <w:pPr>
              <w:jc w:val="center"/>
            </w:pPr>
            <w:r>
              <w:rPr>
                <w:b/>
                <w:color w:val="FFFFFF"/>
              </w:rPr>
              <w:t>1</w:t>
            </w:r>
          </w:p>
        </w:tc>
        <w:tc>
          <w:tcPr>
            <w:tcW w:type="dxa" w:w="504"/>
            <w:shd w:fill="2F5496" w:val="clear"/>
          </w:tcPr>
          <w:p>
            <w:pPr>
              <w:jc w:val="center"/>
            </w:pPr>
            <w:r>
              <w:rPr>
                <w:b/>
                <w:color w:val="FFFFFF"/>
              </w:rPr>
              <w:t>2</w:t>
            </w:r>
          </w:p>
        </w:tc>
        <w:tc>
          <w:tcPr>
            <w:tcW w:type="dxa" w:w="504"/>
            <w:shd w:fill="2F5496" w:val="clear"/>
          </w:tcPr>
          <w:p>
            <w:pPr>
              <w:jc w:val="center"/>
            </w:pPr>
            <w:r>
              <w:rPr>
                <w:b/>
                <w:color w:val="FFFFFF"/>
              </w:rPr>
              <w:t>3</w:t>
            </w:r>
          </w:p>
        </w:tc>
        <w:tc>
          <w:tcPr>
            <w:tcW w:type="dxa" w:w="504"/>
            <w:shd w:fill="2F5496" w:val="clear"/>
          </w:tcPr>
          <w:p>
            <w:pPr>
              <w:jc w:val="center"/>
            </w:pPr>
            <w:r>
              <w:rPr>
                <w:b/>
                <w:color w:val="FFFFFF"/>
              </w:rPr>
              <w:t>4</w:t>
            </w:r>
          </w:p>
        </w:tc>
        <w:tc>
          <w:tcPr>
            <w:tcW w:type="dxa" w:w="504"/>
            <w:shd w:fill="2F5496" w:val="clear"/>
          </w:tcPr>
          <w:p>
            <w:pPr>
              <w:jc w:val="center"/>
            </w:pPr>
            <w:r>
              <w:rPr>
                <w:b/>
                <w:color w:val="FFFFFF"/>
              </w:rPr>
              <w:t>5</w:t>
            </w:r>
          </w:p>
        </w:tc>
        <w:tc>
          <w:tcPr>
            <w:tcW w:type="dxa" w:w="648"/>
            <w:shd w:fill="2F5496" w:val="clear"/>
          </w:tcPr>
          <w:p>
            <w:pPr>
              <w:jc w:val="center"/>
            </w:pPr>
            <w:r>
              <w:rPr>
                <w:b/>
                <w:color w:val="FFFFFF"/>
              </w:rPr>
              <w:t>k. B.</w:t>
            </w:r>
          </w:p>
        </w:tc>
      </w:tr>
      <w:tr>
        <w:trPr>
          <w:cantSplit/>
        </w:trPr>
        <w:tc>
          <w:tcPr>
            <w:tcW w:type="dxa" w:w="864"/>
          </w:tcPr>
          <w:p>
            <w:pPr>
              <w:jc w:val="center"/>
            </w:pPr>
            <w:r>
              <w:rPr>
                <w:b/>
              </w:rPr>
              <w:t>N1</w:t>
            </w:r>
          </w:p>
        </w:tc>
        <w:tc>
          <w:tcPr>
            <w:tcW w:type="dxa" w:w="6048"/>
          </w:tcPr>
          <w:p>
            <w:r>
              <w:t>Ich beabsichtige, generative KI künftig aktiv für meine beruflichen Arbeitsaufgaben einzusetzen.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r>
        <w:trPr>
          <w:cantSplit/>
        </w:trPr>
        <w:tc>
          <w:tcPr>
            <w:tcW w:type="dxa" w:w="864"/>
            <w:shd w:fill="F9FAFC" w:val="clear"/>
          </w:tcPr>
          <w:p>
            <w:pPr>
              <w:jc w:val="center"/>
            </w:pPr>
            <w:r>
              <w:rPr>
                <w:b/>
              </w:rPr>
              <w:t>N2</w:t>
            </w:r>
          </w:p>
        </w:tc>
        <w:tc>
          <w:tcPr>
            <w:tcW w:type="dxa" w:w="6048"/>
            <w:shd w:fill="F9FAFC" w:val="clear"/>
          </w:tcPr>
          <w:p>
            <w:r>
              <w:t>Ich plane, generative KI künftig regelmäßig zur Unterstützung meiner Textentwürfe zu nutzen.</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504"/>
            <w:shd w:fill="F9FAFC" w:val="clear"/>
          </w:tcPr>
          <w:p>
            <w:pPr>
              <w:jc w:val="center"/>
            </w:pPr>
            <w:r>
              <w:rPr>
                <w:sz w:val="22"/>
              </w:rPr>
              <w:t>☐</w:t>
            </w:r>
          </w:p>
        </w:tc>
        <w:tc>
          <w:tcPr>
            <w:tcW w:type="dxa" w:w="648"/>
            <w:shd w:fill="F9FAFC" w:val="clear"/>
          </w:tcPr>
          <w:p>
            <w:pPr>
              <w:jc w:val="center"/>
            </w:pPr>
            <w:r>
              <w:rPr>
                <w:sz w:val="22"/>
              </w:rPr>
              <w:t>☐</w:t>
            </w:r>
          </w:p>
        </w:tc>
      </w:tr>
      <w:tr>
        <w:trPr>
          <w:cantSplit/>
        </w:trPr>
        <w:tc>
          <w:tcPr>
            <w:tcW w:type="dxa" w:w="864"/>
          </w:tcPr>
          <w:p>
            <w:pPr>
              <w:jc w:val="center"/>
            </w:pPr>
            <w:r>
              <w:rPr>
                <w:b/>
              </w:rPr>
              <w:t>N3</w:t>
            </w:r>
          </w:p>
        </w:tc>
        <w:tc>
          <w:tcPr>
            <w:tcW w:type="dxa" w:w="6048"/>
          </w:tcPr>
          <w:p>
            <w:r>
              <w:t>Ich habe die feste Absicht, generative KI künftig bei der Entwicklung neuer Ideen einzusetzen.</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504"/>
          </w:tcPr>
          <w:p>
            <w:pPr>
              <w:jc w:val="center"/>
            </w:pPr>
            <w:r>
              <w:rPr>
                <w:sz w:val="22"/>
              </w:rPr>
              <w:t>☐</w:t>
            </w:r>
          </w:p>
        </w:tc>
        <w:tc>
          <w:tcPr>
            <w:tcW w:type="dxa" w:w="648"/>
          </w:tcPr>
          <w:p>
            <w:pPr>
              <w:jc w:val="center"/>
            </w:pPr>
            <w:r>
              <w:rPr>
                <w:sz w:val="22"/>
              </w:rPr>
              <w:t>☐</w:t>
            </w:r>
          </w:p>
        </w:tc>
      </w:tr>
    </w:tbl>
    <w:p/>
    <w:p>
      <w:pPr>
        <w:keepNext/>
        <w:spacing w:before="360" w:after="120"/>
      </w:pPr>
      <w:r>
        <w:rPr>
          <w:rFonts w:ascii="Arial" w:hAnsi="Arial"/>
          <w:b/>
          <w:color w:val="1B365D"/>
          <w:sz w:val="32"/>
        </w:rPr>
        <w:t>TEIL II: Wissenschaftliches Begleitmaterial und methodische Dokumentation (Erstfassung)</w:t>
      </w:r>
    </w:p>
    <w:p>
      <w:pPr>
        <w:keepNext/>
        <w:spacing w:before="280" w:after="80"/>
      </w:pPr>
      <w:r>
        <w:rPr>
          <w:rFonts w:ascii="Arial" w:hAnsi="Arial"/>
          <w:b/>
          <w:color w:val="2F5496"/>
          <w:sz w:val="26"/>
        </w:rPr>
        <w:t>1. Theoretische Fundierung und Arbeitsdefinition</w:t>
      </w:r>
    </w:p>
    <w:p>
      <w:pPr>
        <w:keepNext/>
        <w:spacing w:before="200" w:after="40"/>
      </w:pPr>
      <w:r>
        <w:rPr>
          <w:rFonts w:ascii="Arial" w:hAnsi="Arial"/>
          <w:b/>
          <w:color w:val="333333"/>
          <w:sz w:val="23"/>
        </w:rPr>
        <w:t>1.1 Untersuchungskontext und Zielgruppe</w:t>
      </w:r>
    </w:p>
    <w:p>
      <w:r>
        <w:t>Der Erhebungsentwurf fokussiert die Ebene einzelner Mitarbeitender in Organisationen. Gegenstand ist die Einführung und Nutzung generativer Künstlicher Intelligenz (GenAI) – insbesondere großer Sprachmodelle (Large Language Models, LLMs wie ChatGPT).</w:t>
      </w:r>
    </w:p>
    <w:p>
      <w:r>
        <w:t>Konkret werden drei informations- und wissensintensive Arbeitstätigkeiten adressiert:</w:t>
      </w:r>
    </w:p>
    <w:p>
      <w:pPr>
        <w:pStyle w:val="ListBullet"/>
      </w:pPr>
      <w:r>
        <w:t>1. Erstellen von Textentwürfen (zielgerichtete Formulierungs- und Strukturierungsaufgaben)</w:t>
      </w:r>
    </w:p>
    <w:p>
      <w:pPr>
        <w:pStyle w:val="ListBullet"/>
      </w:pPr>
      <w:r>
        <w:t>2. Zusammenfassen von Informationen (Kondensieren und Extrahieren komplexer Textmengen)</w:t>
      </w:r>
    </w:p>
    <w:p>
      <w:pPr>
        <w:pStyle w:val="ListBullet"/>
      </w:pPr>
      <w:r>
        <w:t>3. Entwickeln neuer Ideen (Generieren von Alternativen und kreative Problemlösung)</w:t>
      </w:r>
    </w:p>
    <w:p>
      <w:pPr>
        <w:keepNext/>
        <w:spacing w:before="200" w:after="40"/>
      </w:pPr>
      <w:r>
        <w:rPr>
          <w:rFonts w:ascii="Arial" w:hAnsi="Arial"/>
          <w:b/>
          <w:color w:val="333333"/>
          <w:sz w:val="23"/>
        </w:rPr>
        <w:t>1.2 Theoriegeleitete Arbeitsdefinition von „Mitarbeiter-KI-Readiness“</w:t>
      </w:r>
    </w:p>
    <w:p>
      <w:pPr>
        <w:ind w:left="360" w:right="360"/>
      </w:pPr>
      <w:r>
        <w:rPr>
          <w:i/>
        </w:rPr>
        <w:t>„Individuelle KI-Readiness für generative KI ist ein mehrdimensionales psychologisches Konstrukt, das die subjektive Selbstwirksamkeit bei der operativen Handhabung generativer Sprachmodelle, die kritische Beurteilungskompetenz bezüglich systemischer Grenzen und Ergebnisvalidität, die Lern- und Problemlösezuversicht bei Modellunsicherheiten, das zielgerichtete Arbeitsvertrauen (Willingness to rely) unter Wahrung menschlicher Kontrolle, die ethische Reflexionsfähigkeit bezüglich Diskriminierungs- und Folgewirkungen sowie die konkrete intentionale Handlungsbereitschaft (Nutzungsabsicht) zur Bewältigung beruflicher Aufgaben umfasst.“</w:t>
      </w:r>
    </w:p>
    <w:p>
      <w:pPr>
        <w:keepNext/>
        <w:spacing w:before="200" w:after="40"/>
      </w:pPr>
      <w:r>
        <w:rPr>
          <w:rFonts w:ascii="Arial" w:hAnsi="Arial"/>
          <w:b/>
          <w:color w:val="333333"/>
          <w:sz w:val="23"/>
        </w:rPr>
        <w:t>1.3 Begriffliche Differenzierung</w:t>
      </w:r>
    </w:p>
    <w:p>
      <w:r>
        <w:t>Gemäß wissenschaftlicher Methodik ist strikt zwischen drei Ebenen zu differenzieren:</w:t>
      </w:r>
    </w:p>
    <w:p>
      <w:r>
        <w:rPr>
          <w:b/>
        </w:rPr>
        <w:t>Theorien (erklärende Kausalmodelle):</w:t>
        <w:br/>
      </w:r>
      <w:r>
        <w:t>• Theory of Planned Behavior (TPB) / Reasoned Action Approach (RAA): Postuliert, dass menschliches Verhalten primär durch intentionale Handlungsabsichten vorhergesagt wird (Ajzen, 1985, 1991; Fishbein &amp; Ajzen, 1975, 2010).</w:t>
        <w:br/>
      </w:r>
      <w:r>
        <w:t>• Integratives Vertrauensmodell organisatorischen Vertrauens: Konzeptualisiert Vertrauen als die Bereitschaft, sich verwundbar zu machen (Mayer, Davis &amp; Schoorman, 1995; Mayer &amp; Davis, 1999).</w:t>
        <w:br/>
      </w:r>
      <w:r>
        <w:t>• Task-Technology Fit (TTF) Modell: Erklärt Akzeptanz und Leistung aus der Passung zwischen Technologie und Aufgabe (Goodhue &amp; Thompson, 1995).</w:t>
        <w:br/>
      </w:r>
      <w:r>
        <w:t>• Self-Efficacy Theory (SET): Betont Vertrauen in die eigene Handlungskompetenz (Bandura, 1986, 1997).</w:t>
      </w:r>
    </w:p>
    <w:p>
      <w:r>
        <w:rPr>
          <w:b/>
        </w:rPr>
        <w:t>Frameworks (didaktische oder konzeptionelle Strukturierungsraster):</w:t>
        <w:br/>
      </w:r>
      <w:r>
        <w:t>• Blooms Taxonomie angewandt auf KI (Ng et al., 2021).</w:t>
        <w:br/>
      </w:r>
      <w:r>
        <w:t>• EThICAL 7-Step AI Readiness Framework (Luckin et al., 2022).</w:t>
        <w:br/>
      </w:r>
      <w:r>
        <w:t>• McGraths Group Task Circumplex (McGrath, 1984; Paetow et al., 2026).</w:t>
        <w:br/>
      </w:r>
      <w:r>
        <w:t>• CRISP-DM Phasenmodell (Wirth &amp; Hipp, 2000; Haakman et al., 2021).</w:t>
      </w:r>
    </w:p>
    <w:p>
      <w:r>
        <w:rPr>
          <w:b/>
        </w:rPr>
        <w:t>Skalen (empirische Messinstrumente):</w:t>
        <w:br/>
      </w:r>
      <w:r>
        <w:t>• Meta AI Literacy Scale (MAILS) (Carolus et al., 2023).</w:t>
        <w:br/>
      </w:r>
      <w:r>
        <w:t>• Questionnaire 4: Vertrauen in LLMs (Do Khac et al., 2025; Datensatz_v1).</w:t>
        <w:br/>
      </w:r>
      <w:r>
        <w:t>• Questionnaire 3: TTF &amp; Task Characteristics (Paetow et al., 2026; Datensatz_v1).</w:t>
        <w:br/>
      </w:r>
      <w:r>
        <w:t>• Questionnaire 1 &amp; 2: Integrierte Akzeptanzmodelle (Wichmann et al., 2024, 2025).</w:t>
        <w:br/>
      </w:r>
      <w:r>
        <w:t>• Questionnaire 5: Virtuelle Meetings &amp; Work Engagement (Wichmann et al., 2025/2026).</w:t>
      </w:r>
    </w:p>
    <w:p>
      <w:pPr>
        <w:keepNext/>
        <w:spacing w:before="280" w:after="80"/>
      </w:pPr>
      <w:r>
        <w:rPr>
          <w:rFonts w:ascii="Arial" w:hAnsi="Arial"/>
          <w:b/>
          <w:color w:val="2F5496"/>
          <w:sz w:val="26"/>
        </w:rPr>
        <w:t>2. Detaillierte Herkunftstabelle der Aussagen (Erstfassung)</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cantSplit/>
        </w:trPr>
        <w:tc>
          <w:tcPr>
            <w:tcW w:type="dxa" w:w="864"/>
            <w:shd w:fill="1B365D" w:val="clear"/>
          </w:tcPr>
          <w:p>
            <w:pPr>
              <w:jc w:val="center"/>
            </w:pPr>
            <w:r>
              <w:rPr>
                <w:b/>
                <w:color w:val="FFFFFF"/>
              </w:rPr>
              <w:t>ID</w:t>
            </w:r>
          </w:p>
        </w:tc>
        <w:tc>
          <w:tcPr>
            <w:tcW w:type="dxa" w:w="1584"/>
            <w:shd w:fill="1B365D" w:val="clear"/>
          </w:tcPr>
          <w:p>
            <w:pPr>
              <w:jc w:val="left"/>
            </w:pPr>
            <w:r>
              <w:rPr>
                <w:b/>
                <w:color w:val="FFFFFF"/>
              </w:rPr>
              <w:t>Bereich</w:t>
            </w:r>
          </w:p>
        </w:tc>
        <w:tc>
          <w:tcPr>
            <w:tcW w:type="dxa" w:w="3168"/>
            <w:shd w:fill="1B365D" w:val="clear"/>
          </w:tcPr>
          <w:p>
            <w:pPr>
              <w:jc w:val="left"/>
            </w:pPr>
            <w:r>
              <w:rPr>
                <w:b/>
                <w:color w:val="FFFFFF"/>
              </w:rPr>
              <w:t>Quelle &amp; Belegstelle</w:t>
            </w:r>
          </w:p>
        </w:tc>
        <w:tc>
          <w:tcPr>
            <w:tcW w:type="dxa" w:w="1440"/>
            <w:shd w:fill="1B365D" w:val="clear"/>
          </w:tcPr>
          <w:p>
            <w:pPr>
              <w:jc w:val="center"/>
            </w:pPr>
            <w:r>
              <w:rPr>
                <w:b/>
                <w:color w:val="FFFFFF"/>
              </w:rPr>
              <w:t>Übernahme</w:t>
            </w:r>
          </w:p>
        </w:tc>
        <w:tc>
          <w:tcPr>
            <w:tcW w:type="dxa" w:w="3024"/>
            <w:shd w:fill="1B365D" w:val="clear"/>
          </w:tcPr>
          <w:p>
            <w:pPr>
              <w:jc w:val="left"/>
            </w:pPr>
            <w:r>
              <w:rPr>
                <w:b/>
                <w:color w:val="FFFFFF"/>
              </w:rPr>
              <w:t>Begründung der Anpassung</w:t>
            </w:r>
          </w:p>
        </w:tc>
      </w:tr>
      <w:tr>
        <w:trPr>
          <w:cantSplit/>
        </w:trPr>
        <w:tc>
          <w:tcPr>
            <w:tcW w:type="dxa" w:w="864"/>
          </w:tcPr>
          <w:p>
            <w:pPr>
              <w:jc w:val="center"/>
            </w:pPr>
            <w:r>
              <w:t>A1</w:t>
            </w:r>
          </w:p>
        </w:tc>
        <w:tc>
          <w:tcPr>
            <w:tcW w:type="dxa" w:w="1584"/>
          </w:tcPr>
          <w:p>
            <w:r>
              <w:t>Praktische Anwendung</w:t>
            </w:r>
          </w:p>
        </w:tc>
        <w:tc>
          <w:tcPr>
            <w:tcW w:type="dxa" w:w="3168"/>
          </w:tcPr>
          <w:p>
            <w:r>
              <w:t>Carolus et al. (2023), MAILS, App. A, Item 2</w:t>
            </w:r>
          </w:p>
        </w:tc>
        <w:tc>
          <w:tcPr>
            <w:tcW w:type="dxa" w:w="1440"/>
          </w:tcPr>
          <w:p>
            <w:pPr>
              <w:jc w:val="center"/>
            </w:pPr>
            <w:r>
              <w:t>Eng übernommen</w:t>
            </w:r>
          </w:p>
        </w:tc>
        <w:tc>
          <w:tcPr>
            <w:tcW w:type="dxa" w:w="3024"/>
          </w:tcPr>
          <w:p>
            <w:r>
              <w:t>Fokus von Lebensführung auf alltägliche Arbeitsaufgaben übertragen.</w:t>
            </w:r>
          </w:p>
        </w:tc>
      </w:tr>
      <w:tr>
        <w:trPr>
          <w:cantSplit/>
        </w:trPr>
        <w:tc>
          <w:tcPr>
            <w:tcW w:type="dxa" w:w="864"/>
            <w:shd w:fill="F9FAFC" w:val="clear"/>
          </w:tcPr>
          <w:p>
            <w:pPr>
              <w:jc w:val="center"/>
            </w:pPr>
            <w:r>
              <w:t>A2</w:t>
            </w:r>
          </w:p>
        </w:tc>
        <w:tc>
          <w:tcPr>
            <w:tcW w:type="dxa" w:w="1584"/>
            <w:shd w:fill="F9FAFC" w:val="clear"/>
          </w:tcPr>
          <w:p>
            <w:r>
              <w:t>Praktische Anwendung</w:t>
            </w:r>
          </w:p>
        </w:tc>
        <w:tc>
          <w:tcPr>
            <w:tcW w:type="dxa" w:w="3168"/>
            <w:shd w:fill="F9FAFC" w:val="clear"/>
          </w:tcPr>
          <w:p>
            <w:r>
              <w:t>Carolus et al. (2023), Item 6; Do Khac et al. (2025)</w:t>
            </w:r>
          </w:p>
        </w:tc>
        <w:tc>
          <w:tcPr>
            <w:tcW w:type="dxa" w:w="1440"/>
            <w:shd w:fill="F9FAFC" w:val="clear"/>
          </w:tcPr>
          <w:p>
            <w:pPr>
              <w:jc w:val="center"/>
            </w:pPr>
            <w:r>
              <w:t>Stärker angepasst</w:t>
            </w:r>
          </w:p>
        </w:tc>
        <w:tc>
          <w:tcPr>
            <w:tcW w:type="dxa" w:w="3024"/>
            <w:shd w:fill="F9FAFC" w:val="clear"/>
          </w:tcPr>
          <w:p>
            <w:r>
              <w:t>Konkretisierung von 'communicate gainfully' auf Prompting für Textentwürfe.</w:t>
            </w:r>
          </w:p>
        </w:tc>
      </w:tr>
      <w:tr>
        <w:trPr>
          <w:cantSplit/>
        </w:trPr>
        <w:tc>
          <w:tcPr>
            <w:tcW w:type="dxa" w:w="864"/>
          </w:tcPr>
          <w:p>
            <w:pPr>
              <w:jc w:val="center"/>
            </w:pPr>
            <w:r>
              <w:t>A3</w:t>
            </w:r>
          </w:p>
        </w:tc>
        <w:tc>
          <w:tcPr>
            <w:tcW w:type="dxa" w:w="1584"/>
          </w:tcPr>
          <w:p>
            <w:r>
              <w:t>Praktische Anwendung</w:t>
            </w:r>
          </w:p>
        </w:tc>
        <w:tc>
          <w:tcPr>
            <w:tcW w:type="dxa" w:w="3168"/>
          </w:tcPr>
          <w:p>
            <w:r>
              <w:t>Carolus et al. (2023), Item 3; Paetow et al. (2026)</w:t>
            </w:r>
          </w:p>
        </w:tc>
        <w:tc>
          <w:tcPr>
            <w:tcW w:type="dxa" w:w="1440"/>
          </w:tcPr>
          <w:p>
            <w:pPr>
              <w:jc w:val="center"/>
            </w:pPr>
            <w:r>
              <w:t>Stärker angepasst</w:t>
            </w:r>
          </w:p>
        </w:tc>
        <w:tc>
          <w:tcPr>
            <w:tcW w:type="dxa" w:w="3024"/>
          </w:tcPr>
          <w:p>
            <w:r>
              <w:t>Spezifizierung von 'everyday goals' auf die Ideenentwicklung.</w:t>
            </w:r>
          </w:p>
        </w:tc>
      </w:tr>
      <w:tr>
        <w:trPr>
          <w:cantSplit/>
        </w:trPr>
        <w:tc>
          <w:tcPr>
            <w:tcW w:type="dxa" w:w="864"/>
            <w:shd w:fill="F9FAFC" w:val="clear"/>
          </w:tcPr>
          <w:p>
            <w:pPr>
              <w:jc w:val="center"/>
            </w:pPr>
            <w:r>
              <w:t>B1</w:t>
            </w:r>
          </w:p>
        </w:tc>
        <w:tc>
          <w:tcPr>
            <w:tcW w:type="dxa" w:w="1584"/>
            <w:shd w:fill="F9FAFC" w:val="clear"/>
          </w:tcPr>
          <w:p>
            <w:r>
              <w:t>Kritische Beurteilung</w:t>
            </w:r>
          </w:p>
        </w:tc>
        <w:tc>
          <w:tcPr>
            <w:tcW w:type="dxa" w:w="3168"/>
            <w:shd w:fill="F9FAFC" w:val="clear"/>
          </w:tcPr>
          <w:p>
            <w:r>
              <w:t>Carolus et al. (2023), MAILS, App. A, Item 9</w:t>
            </w:r>
          </w:p>
        </w:tc>
        <w:tc>
          <w:tcPr>
            <w:tcW w:type="dxa" w:w="1440"/>
            <w:shd w:fill="F9FAFC" w:val="clear"/>
          </w:tcPr>
          <w:p>
            <w:pPr>
              <w:jc w:val="center"/>
            </w:pPr>
            <w:r>
              <w:t>Eng übernommen</w:t>
            </w:r>
          </w:p>
        </w:tc>
        <w:tc>
          <w:tcPr>
            <w:tcW w:type="dxa" w:w="3024"/>
            <w:shd w:fill="F9FAFC" w:val="clear"/>
          </w:tcPr>
          <w:p>
            <w:r>
              <w:t>Fokussierung auf fachliche Einsatzgrenzen im Betrieb.</w:t>
            </w:r>
          </w:p>
        </w:tc>
      </w:tr>
      <w:tr>
        <w:trPr>
          <w:cantSplit/>
        </w:trPr>
        <w:tc>
          <w:tcPr>
            <w:tcW w:type="dxa" w:w="864"/>
          </w:tcPr>
          <w:p>
            <w:pPr>
              <w:jc w:val="center"/>
            </w:pPr>
            <w:r>
              <w:t>B2</w:t>
            </w:r>
          </w:p>
        </w:tc>
        <w:tc>
          <w:tcPr>
            <w:tcW w:type="dxa" w:w="1584"/>
          </w:tcPr>
          <w:p>
            <w:r>
              <w:t>Kritische Beurteilung</w:t>
            </w:r>
          </w:p>
        </w:tc>
        <w:tc>
          <w:tcPr>
            <w:tcW w:type="dxa" w:w="3168"/>
          </w:tcPr>
          <w:p>
            <w:r>
              <w:t>Do Khac et al. (2025), Quest. 4, Item X3</w:t>
            </w:r>
          </w:p>
        </w:tc>
        <w:tc>
          <w:tcPr>
            <w:tcW w:type="dxa" w:w="1440"/>
          </w:tcPr>
          <w:p>
            <w:pPr>
              <w:jc w:val="center"/>
            </w:pPr>
            <w:r>
              <w:t>Eng übernommen</w:t>
            </w:r>
          </w:p>
        </w:tc>
        <w:tc>
          <w:tcPr>
            <w:tcW w:type="dxa" w:w="3024"/>
          </w:tcPr>
          <w:p>
            <w:r>
              <w:t>Generalisierung von ChatGPT auf generative KI und Ergebnisse.</w:t>
            </w:r>
          </w:p>
        </w:tc>
      </w:tr>
      <w:tr>
        <w:trPr>
          <w:cantSplit/>
        </w:trPr>
        <w:tc>
          <w:tcPr>
            <w:tcW w:type="dxa" w:w="864"/>
            <w:shd w:fill="F9FAFC" w:val="clear"/>
          </w:tcPr>
          <w:p>
            <w:pPr>
              <w:jc w:val="center"/>
            </w:pPr>
            <w:r>
              <w:t>B3</w:t>
            </w:r>
          </w:p>
        </w:tc>
        <w:tc>
          <w:tcPr>
            <w:tcW w:type="dxa" w:w="1584"/>
            <w:shd w:fill="F9FAFC" w:val="clear"/>
          </w:tcPr>
          <w:p>
            <w:r>
              <w:t>Kritische Beurteilung</w:t>
            </w:r>
          </w:p>
        </w:tc>
        <w:tc>
          <w:tcPr>
            <w:tcW w:type="dxa" w:w="3168"/>
            <w:shd w:fill="F9FAFC" w:val="clear"/>
          </w:tcPr>
          <w:p>
            <w:r>
              <w:t>Do Khac et al. (2025), Item X3 &amp; Weidinger et al. (2021)</w:t>
            </w:r>
          </w:p>
        </w:tc>
        <w:tc>
          <w:tcPr>
            <w:tcW w:type="dxa" w:w="1440"/>
            <w:shd w:fill="F9FAFC" w:val="clear"/>
          </w:tcPr>
          <w:p>
            <w:pPr>
              <w:jc w:val="center"/>
            </w:pPr>
            <w:r>
              <w:t>Stärker angepasst</w:t>
            </w:r>
          </w:p>
        </w:tc>
        <w:tc>
          <w:tcPr>
            <w:tcW w:type="dxa" w:w="3024"/>
            <w:shd w:fill="F9FAFC" w:val="clear"/>
          </w:tcPr>
          <w:p>
            <w:r>
              <w:t>Explizite Prüfung der Erkennung von KI-Halluzinationen.</w:t>
            </w:r>
          </w:p>
        </w:tc>
      </w:tr>
      <w:tr>
        <w:trPr>
          <w:cantSplit/>
        </w:trPr>
        <w:tc>
          <w:tcPr>
            <w:tcW w:type="dxa" w:w="864"/>
          </w:tcPr>
          <w:p>
            <w:pPr>
              <w:jc w:val="center"/>
            </w:pPr>
            <w:r>
              <w:t>L1</w:t>
            </w:r>
          </w:p>
        </w:tc>
        <w:tc>
          <w:tcPr>
            <w:tcW w:type="dxa" w:w="1584"/>
          </w:tcPr>
          <w:p>
            <w:r>
              <w:t>Lern- &amp; Problemlösung</w:t>
            </w:r>
          </w:p>
        </w:tc>
        <w:tc>
          <w:tcPr>
            <w:tcW w:type="dxa" w:w="3168"/>
          </w:tcPr>
          <w:p>
            <w:r>
              <w:t>Carolus et al. (2023), MAILS, App. A, Item 24</w:t>
            </w:r>
          </w:p>
        </w:tc>
        <w:tc>
          <w:tcPr>
            <w:tcW w:type="dxa" w:w="1440"/>
          </w:tcPr>
          <w:p>
            <w:pPr>
              <w:jc w:val="center"/>
            </w:pPr>
            <w:r>
              <w:t>Stärker angepasst</w:t>
            </w:r>
          </w:p>
        </w:tc>
        <w:tc>
          <w:tcPr>
            <w:tcW w:type="dxa" w:w="3024"/>
          </w:tcPr>
          <w:p>
            <w:r>
              <w:t>Konkretisierung auf unerwartete Modellantworten.</w:t>
            </w:r>
          </w:p>
        </w:tc>
      </w:tr>
      <w:tr>
        <w:trPr>
          <w:cantSplit/>
        </w:trPr>
        <w:tc>
          <w:tcPr>
            <w:tcW w:type="dxa" w:w="864"/>
            <w:shd w:fill="F9FAFC" w:val="clear"/>
          </w:tcPr>
          <w:p>
            <w:pPr>
              <w:jc w:val="center"/>
            </w:pPr>
            <w:r>
              <w:t>L2</w:t>
            </w:r>
          </w:p>
        </w:tc>
        <w:tc>
          <w:tcPr>
            <w:tcW w:type="dxa" w:w="1584"/>
            <w:shd w:fill="F9FAFC" w:val="clear"/>
          </w:tcPr>
          <w:p>
            <w:r>
              <w:t>Lern- &amp; Problemlösung</w:t>
            </w:r>
          </w:p>
        </w:tc>
        <w:tc>
          <w:tcPr>
            <w:tcW w:type="dxa" w:w="3168"/>
            <w:shd w:fill="F9FAFC" w:val="clear"/>
          </w:tcPr>
          <w:p>
            <w:r>
              <w:t>Carolus et al. (2023), MAILS, App. A, Item 26</w:t>
            </w:r>
          </w:p>
        </w:tc>
        <w:tc>
          <w:tcPr>
            <w:tcW w:type="dxa" w:w="1440"/>
            <w:shd w:fill="F9FAFC" w:val="clear"/>
          </w:tcPr>
          <w:p>
            <w:pPr>
              <w:jc w:val="center"/>
            </w:pPr>
            <w:r>
              <w:t>Eng übernommen</w:t>
            </w:r>
          </w:p>
        </w:tc>
        <w:tc>
          <w:tcPr>
            <w:tcW w:type="dxa" w:w="3024"/>
            <w:shd w:fill="F9FAFC" w:val="clear"/>
          </w:tcPr>
          <w:p>
            <w:r>
              <w:t>Übertragung auf Systemaktualisierungen und neue Funktionen.</w:t>
            </w:r>
          </w:p>
        </w:tc>
      </w:tr>
      <w:tr>
        <w:trPr>
          <w:cantSplit/>
        </w:trPr>
        <w:tc>
          <w:tcPr>
            <w:tcW w:type="dxa" w:w="864"/>
          </w:tcPr>
          <w:p>
            <w:pPr>
              <w:jc w:val="center"/>
            </w:pPr>
            <w:r>
              <w:t>L3</w:t>
            </w:r>
          </w:p>
        </w:tc>
        <w:tc>
          <w:tcPr>
            <w:tcW w:type="dxa" w:w="1584"/>
          </w:tcPr>
          <w:p>
            <w:r>
              <w:t>Lern- &amp; Problemlösung</w:t>
            </w:r>
          </w:p>
        </w:tc>
        <w:tc>
          <w:tcPr>
            <w:tcW w:type="dxa" w:w="3168"/>
          </w:tcPr>
          <w:p>
            <w:r>
              <w:t>Carolus et al. (2023), MAILS, App. A, Item 25</w:t>
            </w:r>
          </w:p>
        </w:tc>
        <w:tc>
          <w:tcPr>
            <w:tcW w:type="dxa" w:w="1440"/>
          </w:tcPr>
          <w:p>
            <w:pPr>
              <w:jc w:val="center"/>
            </w:pPr>
            <w:r>
              <w:t>Stärker angepasst</w:t>
            </w:r>
          </w:p>
        </w:tc>
        <w:tc>
          <w:tcPr>
            <w:tcW w:type="dxa" w:w="3024"/>
          </w:tcPr>
          <w:p>
            <w:r>
              <w:t>Fokussierung auf iteratives Prompting und Ausprobieren.</w:t>
            </w:r>
          </w:p>
        </w:tc>
      </w:tr>
      <w:tr>
        <w:trPr>
          <w:cantSplit/>
        </w:trPr>
        <w:tc>
          <w:tcPr>
            <w:tcW w:type="dxa" w:w="864"/>
            <w:shd w:fill="F9FAFC" w:val="clear"/>
          </w:tcPr>
          <w:p>
            <w:pPr>
              <w:jc w:val="center"/>
            </w:pPr>
            <w:r>
              <w:t>V1</w:t>
            </w:r>
          </w:p>
        </w:tc>
        <w:tc>
          <w:tcPr>
            <w:tcW w:type="dxa" w:w="1584"/>
            <w:shd w:fill="F9FAFC" w:val="clear"/>
          </w:tcPr>
          <w:p>
            <w:r>
              <w:t>Vertrauen in KI</w:t>
            </w:r>
          </w:p>
        </w:tc>
        <w:tc>
          <w:tcPr>
            <w:tcW w:type="dxa" w:w="3168"/>
            <w:shd w:fill="F9FAFC" w:val="clear"/>
          </w:tcPr>
          <w:p>
            <w:r>
              <w:t>Do Khac et al. (2025), Quest. 4, Item T4</w:t>
            </w:r>
          </w:p>
        </w:tc>
        <w:tc>
          <w:tcPr>
            <w:tcW w:type="dxa" w:w="1440"/>
            <w:shd w:fill="F9FAFC" w:val="clear"/>
          </w:tcPr>
          <w:p>
            <w:pPr>
              <w:jc w:val="center"/>
            </w:pPr>
            <w:r>
              <w:t>Eng übernommen</w:t>
            </w:r>
          </w:p>
        </w:tc>
        <w:tc>
          <w:tcPr>
            <w:tcW w:type="dxa" w:w="3024"/>
            <w:shd w:fill="F9FAFC" w:val="clear"/>
          </w:tcPr>
          <w:p>
            <w:r>
              <w:t>Generalisierung auf generative KI als Arbeitsgrundlage.</w:t>
            </w:r>
          </w:p>
        </w:tc>
      </w:tr>
      <w:tr>
        <w:trPr>
          <w:cantSplit/>
        </w:trPr>
        <w:tc>
          <w:tcPr>
            <w:tcW w:type="dxa" w:w="864"/>
          </w:tcPr>
          <w:p>
            <w:pPr>
              <w:jc w:val="center"/>
            </w:pPr>
            <w:r>
              <w:t>V2</w:t>
            </w:r>
          </w:p>
        </w:tc>
        <w:tc>
          <w:tcPr>
            <w:tcW w:type="dxa" w:w="1584"/>
          </w:tcPr>
          <w:p>
            <w:r>
              <w:t>Vertrauen in KI</w:t>
            </w:r>
          </w:p>
        </w:tc>
        <w:tc>
          <w:tcPr>
            <w:tcW w:type="dxa" w:w="3168"/>
          </w:tcPr>
          <w:p>
            <w:r>
              <w:t>Do Khac et al. (2025); Lee &amp; See (2004); Mayer et al. (1995)</w:t>
            </w:r>
          </w:p>
        </w:tc>
        <w:tc>
          <w:tcPr>
            <w:tcW w:type="dxa" w:w="1440"/>
          </w:tcPr>
          <w:p>
            <w:pPr>
              <w:jc w:val="center"/>
            </w:pPr>
            <w:r>
              <w:t>Selbst entwickelt</w:t>
            </w:r>
          </w:p>
        </w:tc>
        <w:tc>
          <w:tcPr>
            <w:tcW w:type="dxa" w:w="3024"/>
          </w:tcPr>
          <w:p>
            <w:r>
              <w:t>Erfasst Vertrauen als Entlastungsinstrument ohne Kontrollverzicht.</w:t>
            </w:r>
          </w:p>
        </w:tc>
      </w:tr>
      <w:tr>
        <w:trPr>
          <w:cantSplit/>
        </w:trPr>
        <w:tc>
          <w:tcPr>
            <w:tcW w:type="dxa" w:w="864"/>
            <w:shd w:fill="F9FAFC" w:val="clear"/>
          </w:tcPr>
          <w:p>
            <w:pPr>
              <w:jc w:val="center"/>
            </w:pPr>
            <w:r>
              <w:t>V3</w:t>
            </w:r>
          </w:p>
        </w:tc>
        <w:tc>
          <w:tcPr>
            <w:tcW w:type="dxa" w:w="1584"/>
            <w:shd w:fill="F9FAFC" w:val="clear"/>
          </w:tcPr>
          <w:p>
            <w:r>
              <w:t>Vertrauen in KI</w:t>
            </w:r>
          </w:p>
        </w:tc>
        <w:tc>
          <w:tcPr>
            <w:tcW w:type="dxa" w:w="3168"/>
            <w:shd w:fill="F9FAFC" w:val="clear"/>
          </w:tcPr>
          <w:p>
            <w:r>
              <w:t>Mayer et al. (1995); Do Khac et al. (2025)</w:t>
            </w:r>
          </w:p>
        </w:tc>
        <w:tc>
          <w:tcPr>
            <w:tcW w:type="dxa" w:w="1440"/>
            <w:shd w:fill="F9FAFC" w:val="clear"/>
          </w:tcPr>
          <w:p>
            <w:pPr>
              <w:jc w:val="center"/>
            </w:pPr>
            <w:r>
              <w:t>Selbst entwickelt</w:t>
            </w:r>
          </w:p>
        </w:tc>
        <w:tc>
          <w:tcPr>
            <w:tcW w:type="dxa" w:w="3024"/>
            <w:shd w:fill="F9FAFC" w:val="clear"/>
          </w:tcPr>
          <w:p>
            <w:r>
              <w:t>Stützung auf Zusammenfassungen bei verbleibender Letztverantwortung.</w:t>
            </w:r>
          </w:p>
        </w:tc>
      </w:tr>
      <w:tr>
        <w:trPr>
          <w:cantSplit/>
        </w:trPr>
        <w:tc>
          <w:tcPr>
            <w:tcW w:type="dxa" w:w="864"/>
          </w:tcPr>
          <w:p>
            <w:pPr>
              <w:jc w:val="center"/>
            </w:pPr>
            <w:r>
              <w:t>E1</w:t>
            </w:r>
          </w:p>
        </w:tc>
        <w:tc>
          <w:tcPr>
            <w:tcW w:type="dxa" w:w="1584"/>
          </w:tcPr>
          <w:p>
            <w:r>
              <w:t>Ethische Beurteilung</w:t>
            </w:r>
          </w:p>
        </w:tc>
        <w:tc>
          <w:tcPr>
            <w:tcW w:type="dxa" w:w="3168"/>
          </w:tcPr>
          <w:p>
            <w:r>
              <w:t>Carolus et al. (2023), Item 16; Jöhnk et al. (2021)</w:t>
            </w:r>
          </w:p>
        </w:tc>
        <w:tc>
          <w:tcPr>
            <w:tcW w:type="dxa" w:w="1440"/>
          </w:tcPr>
          <w:p>
            <w:pPr>
              <w:jc w:val="center"/>
            </w:pPr>
            <w:r>
              <w:t>Stärker angepasst</w:t>
            </w:r>
          </w:p>
        </w:tc>
        <w:tc>
          <w:tcPr>
            <w:tcW w:type="dxa" w:w="3024"/>
          </w:tcPr>
          <w:p>
            <w:r>
              <w:t>Herunterskalierung von Gesellschaft auf Kollegium/Organisation.</w:t>
            </w:r>
          </w:p>
        </w:tc>
      </w:tr>
      <w:tr>
        <w:trPr>
          <w:cantSplit/>
        </w:trPr>
        <w:tc>
          <w:tcPr>
            <w:tcW w:type="dxa" w:w="864"/>
            <w:shd w:fill="F9FAFC" w:val="clear"/>
          </w:tcPr>
          <w:p>
            <w:pPr>
              <w:jc w:val="center"/>
            </w:pPr>
            <w:r>
              <w:t>E2</w:t>
            </w:r>
          </w:p>
        </w:tc>
        <w:tc>
          <w:tcPr>
            <w:tcW w:type="dxa" w:w="1584"/>
            <w:shd w:fill="F9FAFC" w:val="clear"/>
          </w:tcPr>
          <w:p>
            <w:r>
              <w:t>Ethische Beurteilung</w:t>
            </w:r>
          </w:p>
        </w:tc>
        <w:tc>
          <w:tcPr>
            <w:tcW w:type="dxa" w:w="3168"/>
            <w:shd w:fill="F9FAFC" w:val="clear"/>
          </w:tcPr>
          <w:p>
            <w:r>
              <w:t>Carolus et al. (2023), MAILS, App. A, Item 17</w:t>
            </w:r>
          </w:p>
        </w:tc>
        <w:tc>
          <w:tcPr>
            <w:tcW w:type="dxa" w:w="1440"/>
            <w:shd w:fill="F9FAFC" w:val="clear"/>
          </w:tcPr>
          <w:p>
            <w:pPr>
              <w:jc w:val="center"/>
            </w:pPr>
            <w:r>
              <w:t>Eng übernommen</w:t>
            </w:r>
          </w:p>
        </w:tc>
        <w:tc>
          <w:tcPr>
            <w:tcW w:type="dxa" w:w="3024"/>
            <w:shd w:fill="F9FAFC" w:val="clear"/>
          </w:tcPr>
          <w:p>
            <w:r>
              <w:t>Anpassung von 'data provided' auf berufliche KI-Texte.</w:t>
            </w:r>
          </w:p>
        </w:tc>
      </w:tr>
      <w:tr>
        <w:trPr>
          <w:cantSplit/>
        </w:trPr>
        <w:tc>
          <w:tcPr>
            <w:tcW w:type="dxa" w:w="864"/>
          </w:tcPr>
          <w:p>
            <w:pPr>
              <w:jc w:val="center"/>
            </w:pPr>
            <w:r>
              <w:t>E3</w:t>
            </w:r>
          </w:p>
        </w:tc>
        <w:tc>
          <w:tcPr>
            <w:tcW w:type="dxa" w:w="1584"/>
          </w:tcPr>
          <w:p>
            <w:r>
              <w:t>Ethische Beurteilung</w:t>
            </w:r>
          </w:p>
        </w:tc>
        <w:tc>
          <w:tcPr>
            <w:tcW w:type="dxa" w:w="3168"/>
          </w:tcPr>
          <w:p>
            <w:r>
              <w:t>Carolus et al. (2023), Item 18; Jöhnk et al. (2021)</w:t>
            </w:r>
          </w:p>
        </w:tc>
        <w:tc>
          <w:tcPr>
            <w:tcW w:type="dxa" w:w="1440"/>
          </w:tcPr>
          <w:p>
            <w:pPr>
              <w:jc w:val="center"/>
            </w:pPr>
            <w:r>
              <w:t>Stärker angepasst</w:t>
            </w:r>
          </w:p>
        </w:tc>
        <w:tc>
          <w:tcPr>
            <w:tcW w:type="dxa" w:w="3024"/>
          </w:tcPr>
          <w:p>
            <w:r>
              <w:t>Konkretisierung auf Erkennung von Vorurteilen und Bias.</w:t>
            </w:r>
          </w:p>
        </w:tc>
      </w:tr>
      <w:tr>
        <w:trPr>
          <w:cantSplit/>
        </w:trPr>
        <w:tc>
          <w:tcPr>
            <w:tcW w:type="dxa" w:w="864"/>
            <w:shd w:fill="F9FAFC" w:val="clear"/>
          </w:tcPr>
          <w:p>
            <w:pPr>
              <w:jc w:val="center"/>
            </w:pPr>
            <w:r>
              <w:t>N1</w:t>
            </w:r>
          </w:p>
        </w:tc>
        <w:tc>
          <w:tcPr>
            <w:tcW w:type="dxa" w:w="1584"/>
            <w:shd w:fill="F9FAFC" w:val="clear"/>
          </w:tcPr>
          <w:p>
            <w:r>
              <w:t>Nutzungsabsicht</w:t>
            </w:r>
          </w:p>
        </w:tc>
        <w:tc>
          <w:tcPr>
            <w:tcW w:type="dxa" w:w="3168"/>
            <w:shd w:fill="F9FAFC" w:val="clear"/>
          </w:tcPr>
          <w:p>
            <w:r>
              <w:t>Paetow et al. (2026), Quest. 3, BI-Item 1; Do Khac</w:t>
            </w:r>
          </w:p>
        </w:tc>
        <w:tc>
          <w:tcPr>
            <w:tcW w:type="dxa" w:w="1440"/>
            <w:shd w:fill="F9FAFC" w:val="clear"/>
          </w:tcPr>
          <w:p>
            <w:pPr>
              <w:jc w:val="center"/>
            </w:pPr>
            <w:r>
              <w:t>Eng übernommen</w:t>
            </w:r>
          </w:p>
        </w:tc>
        <w:tc>
          <w:tcPr>
            <w:tcW w:type="dxa" w:w="3024"/>
            <w:shd w:fill="F9FAFC" w:val="clear"/>
          </w:tcPr>
          <w:p>
            <w:r>
              <w:t>Übertragung der Verhaltensabsicht auf generative KI.</w:t>
            </w:r>
          </w:p>
        </w:tc>
      </w:tr>
      <w:tr>
        <w:trPr>
          <w:cantSplit/>
        </w:trPr>
        <w:tc>
          <w:tcPr>
            <w:tcW w:type="dxa" w:w="864"/>
          </w:tcPr>
          <w:p>
            <w:pPr>
              <w:jc w:val="center"/>
            </w:pPr>
            <w:r>
              <w:t>N2</w:t>
            </w:r>
          </w:p>
        </w:tc>
        <w:tc>
          <w:tcPr>
            <w:tcW w:type="dxa" w:w="1584"/>
          </w:tcPr>
          <w:p>
            <w:r>
              <w:t>Nutzungsabsicht</w:t>
            </w:r>
          </w:p>
        </w:tc>
        <w:tc>
          <w:tcPr>
            <w:tcW w:type="dxa" w:w="3168"/>
          </w:tcPr>
          <w:p>
            <w:r>
              <w:t>Paetow et al. (2026), BI-Item 2; Wichmann et al. (2025)</w:t>
            </w:r>
          </w:p>
        </w:tc>
        <w:tc>
          <w:tcPr>
            <w:tcW w:type="dxa" w:w="1440"/>
          </w:tcPr>
          <w:p>
            <w:pPr>
              <w:jc w:val="center"/>
            </w:pPr>
            <w:r>
              <w:t>Eng übernommen</w:t>
            </w:r>
          </w:p>
        </w:tc>
        <w:tc>
          <w:tcPr>
            <w:tcW w:type="dxa" w:w="3024"/>
          </w:tcPr>
          <w:p>
            <w:r>
              <w:t>Ausrichtung auf die Unterstützung bei Textentwürfen.</w:t>
            </w:r>
          </w:p>
        </w:tc>
      </w:tr>
      <w:tr>
        <w:trPr>
          <w:cantSplit/>
        </w:trPr>
        <w:tc>
          <w:tcPr>
            <w:tcW w:type="dxa" w:w="864"/>
            <w:shd w:fill="F9FAFC" w:val="clear"/>
          </w:tcPr>
          <w:p>
            <w:pPr>
              <w:jc w:val="center"/>
            </w:pPr>
            <w:r>
              <w:t>N3</w:t>
            </w:r>
          </w:p>
        </w:tc>
        <w:tc>
          <w:tcPr>
            <w:tcW w:type="dxa" w:w="1584"/>
            <w:shd w:fill="F9FAFC" w:val="clear"/>
          </w:tcPr>
          <w:p>
            <w:r>
              <w:t>Nutzungsabsicht</w:t>
            </w:r>
          </w:p>
        </w:tc>
        <w:tc>
          <w:tcPr>
            <w:tcW w:type="dxa" w:w="3168"/>
            <w:shd w:fill="F9FAFC" w:val="clear"/>
          </w:tcPr>
          <w:p>
            <w:r>
              <w:t>Do Khac et al. (2025), Item I3; Paetow et al. (2026)</w:t>
            </w:r>
          </w:p>
        </w:tc>
        <w:tc>
          <w:tcPr>
            <w:tcW w:type="dxa" w:w="1440"/>
            <w:shd w:fill="F9FAFC" w:val="clear"/>
          </w:tcPr>
          <w:p>
            <w:pPr>
              <w:jc w:val="center"/>
            </w:pPr>
            <w:r>
              <w:t>Stärker angepasst</w:t>
            </w:r>
          </w:p>
        </w:tc>
        <w:tc>
          <w:tcPr>
            <w:tcW w:type="dxa" w:w="3024"/>
            <w:shd w:fill="F9FAFC" w:val="clear"/>
          </w:tcPr>
          <w:p>
            <w:r>
              <w:t>Transformation in individuelles Zutrauen bei Ideenfindung.</w:t>
            </w:r>
          </w:p>
        </w:tc>
      </w:tr>
    </w:tbl>
    <w:p>
      <w:pPr>
        <w:keepNext/>
        <w:spacing w:before="280" w:after="80"/>
      </w:pPr>
      <w:r>
        <w:rPr>
          <w:rFonts w:ascii="Arial" w:hAnsi="Arial"/>
          <w:b/>
          <w:color w:val="2F5496"/>
          <w:sz w:val="26"/>
        </w:rPr>
        <w:t>3. Dokumentation der Antwortskalen und Abweichungen</w:t>
      </w:r>
    </w:p>
    <w:p>
      <w:pPr>
        <w:keepNext/>
        <w:spacing w:before="200" w:after="40"/>
      </w:pPr>
      <w:r>
        <w:rPr>
          <w:rFonts w:ascii="Arial" w:hAnsi="Arial"/>
          <w:b/>
          <w:color w:val="333333"/>
          <w:sz w:val="23"/>
        </w:rPr>
        <w:t>3.1 Begründung der einheitlichen 5-stufigen Antwortskala</w:t>
      </w:r>
    </w:p>
    <w:p>
      <w:r>
        <w:t>Für den gesamten Fragebogen wird durchgängig eine 5-stufige bipolare Zustimmungs-Likert-Skala (1 = stimme überhaupt nicht zu bis 5 = stimme vollständig zu) sowie eine Zusatzoption „k. B.“ (kann ich nicht beurteilen) gewählt. Dies ermöglicht eine harmonisierte Auswertung über heterogene Skalenquellen hinweg.</w:t>
      </w:r>
    </w:p>
    <w:p>
      <w:pPr>
        <w:keepNext/>
        <w:spacing w:before="200" w:after="40"/>
      </w:pPr>
      <w:r>
        <w:rPr>
          <w:rFonts w:ascii="Arial" w:hAnsi="Arial"/>
          <w:b/>
          <w:color w:val="333333"/>
          <w:sz w:val="23"/>
        </w:rPr>
        <w:t>3.2 Vergleich mit den Originalskalen aus den Quellen</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cantSplit/>
        </w:trPr>
        <w:tc>
          <w:tcPr>
            <w:tcW w:type="dxa" w:w="3168"/>
            <w:shd w:fill="1B365D" w:val="clear"/>
          </w:tcPr>
          <w:p>
            <w:r>
              <w:rPr>
                <w:b/>
                <w:color w:val="FFFFFF"/>
              </w:rPr>
              <w:t>Quelle</w:t>
            </w:r>
          </w:p>
        </w:tc>
        <w:tc>
          <w:tcPr>
            <w:tcW w:type="dxa" w:w="3168"/>
            <w:shd w:fill="1B365D" w:val="clear"/>
          </w:tcPr>
          <w:p>
            <w:r>
              <w:rPr>
                <w:b/>
                <w:color w:val="FFFFFF"/>
              </w:rPr>
              <w:t>Originalskala im Quelltext</w:t>
            </w:r>
          </w:p>
        </w:tc>
        <w:tc>
          <w:tcPr>
            <w:tcW w:type="dxa" w:w="3744"/>
            <w:shd w:fill="1B365D" w:val="clear"/>
          </w:tcPr>
          <w:p>
            <w:r>
              <w:rPr>
                <w:b/>
                <w:color w:val="FFFFFF"/>
              </w:rPr>
              <w:t>Art und Begründung der Anpassung</w:t>
            </w:r>
          </w:p>
        </w:tc>
      </w:tr>
      <w:tr>
        <w:trPr>
          <w:cantSplit/>
        </w:trPr>
        <w:tc>
          <w:tcPr>
            <w:tcW w:type="dxa" w:w="3168"/>
          </w:tcPr>
          <w:p>
            <w:r>
              <w:t>Carolus et al. (2023) (MAILS)</w:t>
            </w:r>
          </w:p>
        </w:tc>
        <w:tc>
          <w:tcPr>
            <w:tcW w:type="dxa" w:w="3168"/>
          </w:tcPr>
          <w:p>
            <w:r>
              <w:t>11-stufig numerisch (0–10)</w:t>
            </w:r>
          </w:p>
        </w:tc>
        <w:tc>
          <w:tcPr>
            <w:tcW w:type="dxa" w:w="3744"/>
          </w:tcPr>
          <w:p>
            <w:r>
              <w:t>Reduktion von 11 auf 5 Stufen; Wechsel zu Zustimmungs-Likert-Skala.</w:t>
            </w:r>
          </w:p>
        </w:tc>
      </w:tr>
      <w:tr>
        <w:trPr>
          <w:cantSplit/>
        </w:trPr>
        <w:tc>
          <w:tcPr>
            <w:tcW w:type="dxa" w:w="3168"/>
            <w:shd w:fill="F9FAFC" w:val="clear"/>
          </w:tcPr>
          <w:p>
            <w:r>
              <w:t>Do Khac et al. (2025) (Quest. 4)</w:t>
            </w:r>
          </w:p>
        </w:tc>
        <w:tc>
          <w:tcPr>
            <w:tcW w:type="dxa" w:w="3168"/>
            <w:shd w:fill="F9FAFC" w:val="clear"/>
          </w:tcPr>
          <w:p>
            <w:r>
              <w:t>Nicht eindeutig belegt im Text</w:t>
            </w:r>
          </w:p>
        </w:tc>
        <w:tc>
          <w:tcPr>
            <w:tcW w:type="dxa" w:w="3744"/>
            <w:shd w:fill="F9FAFC" w:val="clear"/>
          </w:tcPr>
          <w:p>
            <w:r>
              <w:t>Überführung in einheitliche 5-stufige Skala.</w:t>
            </w:r>
          </w:p>
        </w:tc>
      </w:tr>
      <w:tr>
        <w:trPr>
          <w:cantSplit/>
        </w:trPr>
        <w:tc>
          <w:tcPr>
            <w:tcW w:type="dxa" w:w="3168"/>
          </w:tcPr>
          <w:p>
            <w:r>
              <w:t>Paetow et al. (2026) (Quest. 3)</w:t>
            </w:r>
          </w:p>
        </w:tc>
        <w:tc>
          <w:tcPr>
            <w:tcW w:type="dxa" w:w="3168"/>
          </w:tcPr>
          <w:p>
            <w:r>
              <w:t>5-stufige Likert-Skala (1–5)</w:t>
            </w:r>
          </w:p>
        </w:tc>
        <w:tc>
          <w:tcPr>
            <w:tcW w:type="dxa" w:w="3744"/>
          </w:tcPr>
          <w:p>
            <w:r>
              <w:t>Stufung beibehalten, Übersetzung ins Deutsche.</w:t>
            </w:r>
          </w:p>
        </w:tc>
      </w:tr>
      <w:tr>
        <w:trPr>
          <w:cantSplit/>
        </w:trPr>
        <w:tc>
          <w:tcPr>
            <w:tcW w:type="dxa" w:w="3168"/>
            <w:shd w:fill="F9FAFC" w:val="clear"/>
          </w:tcPr>
          <w:p>
            <w:r>
              <w:t>Wichmann et al. (2024) (Quest. 1)</w:t>
            </w:r>
          </w:p>
        </w:tc>
        <w:tc>
          <w:tcPr>
            <w:tcW w:type="dxa" w:w="3168"/>
            <w:shd w:fill="F9FAFC" w:val="clear"/>
          </w:tcPr>
          <w:p>
            <w:r>
              <w:t>7-stufige Likert-Skala (1–7)</w:t>
            </w:r>
          </w:p>
        </w:tc>
        <w:tc>
          <w:tcPr>
            <w:tcW w:type="dxa" w:w="3744"/>
            <w:shd w:fill="F9FAFC" w:val="clear"/>
          </w:tcPr>
          <w:p>
            <w:r>
              <w:t>Reduktion von 7 auf 5 Stufen zur Vereinheitlichung.</w:t>
            </w:r>
          </w:p>
        </w:tc>
      </w:tr>
      <w:tr>
        <w:trPr>
          <w:cantSplit/>
        </w:trPr>
        <w:tc>
          <w:tcPr>
            <w:tcW w:type="dxa" w:w="3168"/>
          </w:tcPr>
          <w:p>
            <w:r>
              <w:t>Wichmann et al. (2025) (Quest. 2)</w:t>
            </w:r>
          </w:p>
        </w:tc>
        <w:tc>
          <w:tcPr>
            <w:tcW w:type="dxa" w:w="3168"/>
          </w:tcPr>
          <w:p>
            <w:r>
              <w:t>7-stufige Likert-Skala (1–7)</w:t>
            </w:r>
          </w:p>
        </w:tc>
        <w:tc>
          <w:tcPr>
            <w:tcW w:type="dxa" w:w="3744"/>
          </w:tcPr>
          <w:p>
            <w:r>
              <w:t>Reduktion von 7 auf 5 Stufen.</w:t>
            </w:r>
          </w:p>
        </w:tc>
      </w:tr>
      <w:tr>
        <w:trPr>
          <w:cantSplit/>
        </w:trPr>
        <w:tc>
          <w:tcPr>
            <w:tcW w:type="dxa" w:w="3168"/>
            <w:shd w:fill="F9FAFC" w:val="clear"/>
          </w:tcPr>
          <w:p>
            <w:r>
              <w:t>Wichmann et al. (2025/26) (Quest. 5)</w:t>
            </w:r>
          </w:p>
        </w:tc>
        <w:tc>
          <w:tcPr>
            <w:tcW w:type="dxa" w:w="3168"/>
            <w:shd w:fill="F9FAFC" w:val="clear"/>
          </w:tcPr>
          <w:p>
            <w:r>
              <w:t>5-stufige Likert-Skala (1–5)</w:t>
            </w:r>
          </w:p>
        </w:tc>
        <w:tc>
          <w:tcPr>
            <w:tcW w:type="dxa" w:w="3744"/>
            <w:shd w:fill="F9FAFC" w:val="clear"/>
          </w:tcPr>
          <w:p>
            <w:r>
              <w:t>Stufung direkt beibehalten.</w:t>
            </w:r>
          </w:p>
        </w:tc>
      </w:tr>
    </w:tbl>
    <w:p>
      <w:pPr>
        <w:keepNext/>
        <w:spacing w:before="280" w:after="80"/>
      </w:pPr>
      <w:r>
        <w:rPr>
          <w:rFonts w:ascii="Arial" w:hAnsi="Arial"/>
          <w:b/>
          <w:color w:val="2F5496"/>
          <w:sz w:val="26"/>
        </w:rPr>
        <w:t>4. Methodischer Qualitätscheck und Limitationen</w:t>
      </w:r>
    </w:p>
    <w:p>
      <w:pPr>
        <w:pStyle w:val="ListBullet"/>
      </w:pPr>
      <w:r>
        <w:t>• Single-Barrelled Items: Jedes Item wurde redaktionell auf genau einen Gedanken geprüft.</w:t>
      </w:r>
    </w:p>
    <w:p>
      <w:pPr>
        <w:pStyle w:val="ListBullet"/>
      </w:pPr>
      <w:r>
        <w:t>• Status als theoriegeleiteter Entwurf: Vor einem praktische Einsatz ist eine empirische Pilotierung erforderlich.</w:t>
      </w:r>
    </w:p>
    <w:p>
      <w:pPr>
        <w:pStyle w:val="ListBullet"/>
      </w:pPr>
      <w:r>
        <w:t>• Verzicht auf Gesamtscore: Die Auswertung muss als 6-dimensionales Profil erfolgen.</w:t>
      </w:r>
    </w:p>
    <w:p>
      <w:pPr>
        <w:pStyle w:val="ListBullet"/>
      </w:pPr>
      <w:r>
        <w:t>• Inhaltliche Klarstellungen: Abgrenzung von Vertrauen zu Kontrollverzicht (Human-in-the-Loop) sowie Transparenz bzgl. Datenschutzvertrauen vs. Datenschutzkompetenz.</w:t>
      </w:r>
    </w:p>
    <w:p>
      <w:pPr>
        <w:keepNext/>
        <w:spacing w:before="360" w:after="120"/>
      </w:pPr>
      <w:r>
        <w:rPr>
          <w:rFonts w:ascii="Arial" w:hAnsi="Arial"/>
          <w:b/>
          <w:color w:val="1B365D"/>
          <w:sz w:val="32"/>
        </w:rPr>
        <w:t>TEIL III: Überarbeitete fassung „Leitlinien V2“ (Verbindliche Arbeitsanweisung)</w:t>
      </w:r>
    </w:p>
    <w:p>
      <w:r>
        <w:t>Diese Arbeitsanweisung dient als verbindliche Anleitung zur theoriegeleiteten Entwicklung eines Selbsteinschätzungs-Fragebogens zur individuellen KI-Readiness von Beschäftigten.</w:t>
      </w:r>
    </w:p>
    <w:p>
      <w:pPr>
        <w:keepNext/>
        <w:spacing w:before="280" w:after="80"/>
      </w:pPr>
      <w:r>
        <w:rPr>
          <w:rFonts w:ascii="Arial" w:hAnsi="Arial"/>
          <w:b/>
          <w:color w:val="2F5496"/>
          <w:sz w:val="26"/>
        </w:rPr>
        <w:t>1. Zielsetzung und verbindliche Rahmendaten</w:t>
      </w:r>
    </w:p>
    <w:p>
      <w:pPr>
        <w:pStyle w:val="ListBullet"/>
      </w:pPr>
      <w:r>
        <w:t>• Ziel: Erfassung der individuellen Bereitschaft und Befähigung von Beschäftigten für den praktischen Umgang mit generativer KI (Selbsteinschätzung; kein Wissenstest).</w:t>
      </w:r>
    </w:p>
    <w:p>
      <w:pPr>
        <w:pStyle w:val="ListBullet"/>
      </w:pPr>
      <w:r>
        <w:t>• Zielgruppe: Einzelne Mitarbeitende eines Unternehmens.</w:t>
      </w:r>
    </w:p>
    <w:p>
      <w:pPr>
        <w:pStyle w:val="ListBullet"/>
      </w:pPr>
      <w:r>
        <w:t>• Fokus-Arbeitsaufgaben: (1) Erstellen von Textentwürfen, (2) Zusammenfassen von Informationen, (3) Entwickeln neuer Ideen.</w:t>
      </w:r>
    </w:p>
    <w:p>
      <w:pPr>
        <w:pStyle w:val="ListBullet"/>
      </w:pPr>
      <w:r>
        <w:t>• Technologiefokus: Generative KI-Systeme (LLMs, ChatGPT etc.).</w:t>
      </w:r>
    </w:p>
    <w:p>
      <w:pPr>
        <w:keepNext/>
        <w:spacing w:before="280" w:after="80"/>
      </w:pPr>
      <w:r>
        <w:rPr>
          <w:rFonts w:ascii="Arial" w:hAnsi="Arial"/>
          <w:b/>
          <w:color w:val="2F5496"/>
          <w:sz w:val="26"/>
        </w:rPr>
        <w:t>2. Die sechs Erfassungsbereiche (18 Aussagen, 3 pro Bereich)</w:t>
      </w:r>
    </w:p>
    <w:p>
      <w:pPr>
        <w:pStyle w:val="ListBullet"/>
      </w:pPr>
      <w:r>
        <w:t>1. Praktische Anwendung (Items A1–A3)</w:t>
      </w:r>
    </w:p>
    <w:p>
      <w:pPr>
        <w:pStyle w:val="ListBullet"/>
      </w:pPr>
      <w:r>
        <w:t>2. Kritische Beurteilung von Möglichkeiten, Grenzen und Ergebnissen (Items B1–B3)</w:t>
      </w:r>
    </w:p>
    <w:p>
      <w:pPr>
        <w:pStyle w:val="ListBullet"/>
      </w:pPr>
      <w:r>
        <w:t>3. Lern- und Problemlöse-Selbstwirksamkeit (Items L1–L3)</w:t>
      </w:r>
    </w:p>
    <w:p>
      <w:pPr>
        <w:pStyle w:val="ListBullet"/>
      </w:pPr>
      <w:r>
        <w:t>4. Vertrauen in die KI (Items V1–V3)</w:t>
      </w:r>
    </w:p>
    <w:p>
      <w:pPr>
        <w:pStyle w:val="ListBullet"/>
      </w:pPr>
      <w:r>
        <w:t>5. Ethische Beurteilungsfähigkeit (Items E1–E3)</w:t>
      </w:r>
    </w:p>
    <w:p>
      <w:pPr>
        <w:pStyle w:val="ListBullet"/>
      </w:pPr>
      <w:r>
        <w:t>6. Nutzungsabsicht (Items N1–N3)</w:t>
      </w:r>
    </w:p>
    <w:p>
      <w:pPr>
        <w:keepNext/>
        <w:spacing w:before="280" w:after="80"/>
      </w:pPr>
      <w:r>
        <w:rPr>
          <w:rFonts w:ascii="Arial" w:hAnsi="Arial"/>
          <w:b/>
          <w:color w:val="2F5496"/>
          <w:sz w:val="26"/>
        </w:rPr>
        <w:t>3. Methodische Konstruktionsregeln</w:t>
      </w:r>
    </w:p>
    <w:p>
      <w:pPr>
        <w:keepNext/>
        <w:spacing w:before="200" w:after="40"/>
      </w:pPr>
      <w:r>
        <w:rPr>
          <w:rFonts w:ascii="Arial" w:hAnsi="Arial"/>
          <w:b/>
          <w:color w:val="333333"/>
          <w:sz w:val="23"/>
        </w:rPr>
        <w:t>Regel 1: Beschränkung der Einleitung auf festgelegte Angaben</w:t>
      </w:r>
    </w:p>
    <w:p>
      <w:r>
        <w:t>Der Einleitungstext darf ausschließlich die vorab definierten Rahmendaten enthalten. Es dürfen keine erfundenen Angaben ergänzt werden (keine fingierten Einführungsprozesse, Erhebungszwecke oder Zusagen).</w:t>
      </w:r>
    </w:p>
    <w:p>
      <w:pPr>
        <w:keepNext/>
        <w:spacing w:before="200" w:after="40"/>
      </w:pPr>
      <w:r>
        <w:rPr>
          <w:rFonts w:ascii="Arial" w:hAnsi="Arial"/>
          <w:b/>
          <w:color w:val="333333"/>
          <w:sz w:val="23"/>
        </w:rPr>
        <w:t>Regel 2: Begründung der fünf Antwortstufen als pragmatische Formatentscheidung</w:t>
      </w:r>
    </w:p>
    <w:p>
      <w:r>
        <w:t>Die 5-stufige Skala ist ausschließlich als methodische Entscheidung für ein einheitliches Format über alle Subdimensionen hinweg zu begründen. Unbelegte Behauptungen über kognitive Belastung oder Abbruchquoten sind unzulässig.</w:t>
      </w:r>
    </w:p>
    <w:p>
      <w:pPr>
        <w:keepNext/>
        <w:spacing w:before="200" w:after="40"/>
      </w:pPr>
      <w:r>
        <w:rPr>
          <w:rFonts w:ascii="Arial" w:hAnsi="Arial"/>
          <w:b/>
          <w:color w:val="333333"/>
          <w:sz w:val="23"/>
        </w:rPr>
        <w:t>Regel 3: Einordnung als theoriegeleitete Zusammenstellung</w:t>
      </w:r>
    </w:p>
    <w:p>
      <w:r>
        <w:t>Die Arbeitsdefinition und die sechs Dimensionen müssen transparent als theoriegeleitete Zusammenstellung speziell für diese Arbeit deklariert werden (kein behauptetes bestätigtes Gesamtmodell).</w:t>
      </w:r>
    </w:p>
    <w:p>
      <w:pPr>
        <w:keepNext/>
        <w:spacing w:before="200" w:after="40"/>
      </w:pPr>
      <w:r>
        <w:rPr>
          <w:rFonts w:ascii="Arial" w:hAnsi="Arial"/>
          <w:b/>
          <w:color w:val="333333"/>
          <w:sz w:val="23"/>
        </w:rPr>
        <w:t>Regel 4: Formulierung als Fähigkeits-Selbstwirksamkeit (Single-Barrelled)</w:t>
      </w:r>
    </w:p>
    <w:p>
      <w:r>
        <w:t>Items der Kompetenzbereiche (A, B, L, E) müssen als Selbsteinschätzung der eigenen Fähigkeiten formuliert werden („Ich kann / traue mir zu...“), nicht als Verhalten. Jedes Item enthält genau einen Gedanken.</w:t>
      </w:r>
    </w:p>
    <w:p>
      <w:pPr>
        <w:keepNext/>
        <w:spacing w:before="200" w:after="40"/>
      </w:pPr>
      <w:r>
        <w:rPr>
          <w:rFonts w:ascii="Arial" w:hAnsi="Arial"/>
          <w:b/>
          <w:color w:val="333333"/>
          <w:sz w:val="23"/>
        </w:rPr>
        <w:t>Regel 5: Kompakte theoretische Fundierung</w:t>
      </w:r>
    </w:p>
    <w:p>
      <w:r>
        <w:t>Die theoretische Herleitung ist kurz zu halten. Nur unmittelbar genutzte Grundlagen werden angeführt (SET, Vertrauen, TPB, McGrath). Zusätzliche Modelle und statistische Kennwerte entfallen.</w:t>
      </w:r>
    </w:p>
    <w:p>
      <w:pPr>
        <w:keepNext/>
        <w:spacing w:before="200" w:after="40"/>
      </w:pPr>
      <w:r>
        <w:rPr>
          <w:rFonts w:ascii="Arial" w:hAnsi="Arial"/>
          <w:b/>
          <w:color w:val="333333"/>
          <w:sz w:val="23"/>
        </w:rPr>
        <w:t>Regel 6: Überprüfbare Belege und Nachweis indirekter Quellen</w:t>
      </w:r>
    </w:p>
    <w:p>
      <w:r>
        <w:t>Belegstellen in der Herkunftstabelle müssen strikt überprüfbar sein. Keine erfundenen Seitenzahlen. Bei indirekt zitierten Originalautoren wird stets auch das genutzte Dokument aus dem Notizbuch genannt.</w:t>
      </w:r>
    </w:p>
    <w:p>
      <w:pPr>
        <w:keepNext/>
        <w:spacing w:before="200" w:after="40"/>
      </w:pPr>
      <w:r>
        <w:rPr>
          <w:rFonts w:ascii="Arial" w:hAnsi="Arial"/>
          <w:b/>
          <w:color w:val="333333"/>
          <w:sz w:val="23"/>
        </w:rPr>
        <w:t>Regel 7: Klare Differenzierung der Pretest-Phasen</w:t>
      </w:r>
    </w:p>
    <w:p>
      <w:r>
        <w:t>Strikte Trennung zwischen qualitativem Verständlichkeitstest und statistischer Prüfung. Keine erfundenen Mindeststichproben oder starren Schwellenwerte.</w:t>
      </w:r>
    </w:p>
    <w:p>
      <w:pPr>
        <w:keepNext/>
        <w:spacing w:before="200" w:after="40"/>
      </w:pPr>
      <w:r>
        <w:rPr>
          <w:rFonts w:ascii="Arial" w:hAnsi="Arial"/>
          <w:b/>
          <w:color w:val="333333"/>
          <w:sz w:val="23"/>
        </w:rPr>
        <w:t>Regel 8: Kritischer Qualitätscheck mit offenen Fragen</w:t>
      </w:r>
    </w:p>
    <w:p>
      <w:r>
        <w:t>Der Qualitätscheck benennt konkrete Auffälligkeiten, Kompromisse und offene Fragen. Keine pauschalen Erfolgsbehauptungen. Er ersetzt nicht die Prüfung durch den Anwender.</w:t>
      </w:r>
    </w:p>
    <w:p>
      <w:pPr>
        <w:keepNext/>
        <w:spacing w:before="280" w:after="80"/>
      </w:pPr>
      <w:r>
        <w:rPr>
          <w:rFonts w:ascii="Arial" w:hAnsi="Arial"/>
          <w:b/>
          <w:color w:val="2F5496"/>
          <w:sz w:val="26"/>
        </w:rPr>
        <w:t>4. Inhaltliche Klarstellungen zu den Quellen</w:t>
      </w:r>
    </w:p>
    <w:p>
      <w:pPr>
        <w:pStyle w:val="ListBullet"/>
      </w:pPr>
      <w:r>
        <w:t>• Datenschutzvertrauen vs. Datenschutzkompetenz: Die Messung von Systemintegrität ersetzt keine Prüfung individueller Datenschutzkompetenz. Diese Quellenlücke ist auszuweisen.</w:t>
      </w:r>
    </w:p>
    <w:p>
      <w:pPr>
        <w:pStyle w:val="ListBullet"/>
      </w:pPr>
      <w:r>
        <w:t>• Vertrauen vs. Kontrollverzicht: Vertrauen darf nicht als Kontrollverzicht operationalisiert werden (Human-in-the-Loop bleibt zwingend).</w:t>
      </w:r>
    </w:p>
    <w:p>
      <w:pPr>
        <w:pStyle w:val="ListBullet"/>
      </w:pPr>
      <w:r>
        <w:t>• Profilansatz: Kein additiver Gesamtscore.</w:t>
      </w:r>
    </w:p>
    <w:p>
      <w:pPr>
        <w:pStyle w:val="ListBullet"/>
      </w:pPr>
      <w:r>
        <w:t>• Originalskalen: Neutral dokumentieren; unklare Skalen als „nicht eindeutig belegt“ kennzeichnen.</w:t>
      </w:r>
    </w:p>
    <w:p>
      <w:pPr>
        <w:keepNext/>
        <w:spacing w:before="280" w:after="80"/>
      </w:pPr>
      <w:r>
        <w:rPr>
          <w:rFonts w:ascii="Arial" w:hAnsi="Arial"/>
          <w:b/>
          <w:color w:val="2F5496"/>
          <w:sz w:val="26"/>
        </w:rPr>
        <w:t>5. Verbindliche Ausgabestruktur</w:t>
      </w:r>
    </w:p>
    <w:p>
      <w:pPr>
        <w:pStyle w:val="ListBullet"/>
      </w:pPr>
      <w:r>
        <w:t>Teil I: Fragebogen für die Mitarbeitenden (Einleitung, Skala, 18 Items in 6 Tabellen)</w:t>
      </w:r>
    </w:p>
    <w:p>
      <w:pPr>
        <w:pStyle w:val="ListBullet"/>
      </w:pPr>
      <w:r>
        <w:t>Teil II: Begleitmaterial (Fundierung, Herkunftstabelle, Skalendokumentation, Qualitätscheck mit offenen Fragen)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Seite </w:t>
    </w:r>
    <w:fldSimple w:instr="PAGE"/>
    <w:r>
      <w:rPr>
        <w:rFonts w:ascii="Arial" w:hAnsi="Arial"/>
        <w:color w:val="808080"/>
        <w:sz w:val="18"/>
      </w:rPr>
      <w:t xml:space="preserve"> von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KI-Readiness Fragebogen &amp; Leitlinien V2 | Dokumentsammlung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