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F4E79"/>
          <w:sz w:val="44"/>
        </w:rPr>
        <w:t>KI-Readiness Fragebogenentwurf &amp; Begleitdokumentation</w:t>
      </w:r>
    </w:p>
    <w:p>
      <w:pPr>
        <w:spacing w:after="240"/>
      </w:pPr>
      <w:r>
        <w:rPr>
          <w:i/>
          <w:color w:val="595959"/>
          <w:sz w:val="26"/>
        </w:rPr>
        <w:t>Selbsteinschätzung zur berufsbezogenen Nutzung generativer künstlicher Intelligenz</w:t>
      </w:r>
    </w:p>
    <w:p>
      <w:pPr>
        <w:spacing w:before="80" w:after="320"/>
        <w:ind w:left="288" w:right="288"/>
      </w:pPr>
      <w:r>
        <w:rPr>
          <w:b/>
          <w:color w:val="1F4E79"/>
          <w:sz w:val="20"/>
        </w:rPr>
        <w:t>Status: Methodischer und theoriegeleiteter Entwurf – keine bereits empirisch validierte Einsatzversion ohne nachgewiesene statistische Gütewerte.</w:t>
      </w:r>
    </w:p>
    <w:p>
      <w:pPr>
        <w:keepNext/>
        <w:spacing w:before="320" w:after="120"/>
      </w:pPr>
      <w:r>
        <w:rPr>
          <w:b/>
          <w:color w:val="1F4E79"/>
          <w:sz w:val="32"/>
        </w:rPr>
        <w:t>TEIL I: Fragebogenentwurf für die Mitarbeitenden</w:t>
      </w:r>
    </w:p>
    <w:p>
      <w:pPr>
        <w:keepNext/>
        <w:spacing w:before="240" w:after="80"/>
      </w:pPr>
      <w:r>
        <w:rPr>
          <w:b/>
          <w:color w:val="1F4E79"/>
          <w:sz w:val="26"/>
        </w:rPr>
        <w:t>Einleitung</w:t>
      </w:r>
    </w:p>
    <w:p>
      <w:r>
        <w:t>Dieser Fragebogen dient der Erfassung Ihrer persönlichen Selbsteinschätzung beim beruflichen Umgang mit generativer künstlicher Intelligenz (insbesondere Text- und Sprachassistenten). Die Aussagen beziehen sich auf typische Arbeitsaufgaben wie das Erstellen von Textentwürfen, das Zusammenfassen von Informationen und das Entwickeln neuer Ideen.</w:t>
      </w:r>
    </w:p>
    <w:p>
      <w:r>
        <w:t>Es handelt sich hierbei ausdrücklich um keinen Wissenstest und um keine Bewertung der technischen oder organisatorischen Rahmenbedingungen des Gesamtunternehmens. Ziel ist es, Ihre individuelle Einschätzung eigener Fähigkeiten, Ihr Vertrauen in die Systeme sowie Ihre ergänzende Absicht zur Nutzung abzubilden.</w:t>
      </w:r>
    </w:p>
    <w:p>
      <w:pPr>
        <w:spacing w:before="80" w:after="160"/>
      </w:pPr>
      <w:r>
        <w:rPr>
          <w:b/>
        </w:rPr>
        <w:t xml:space="preserve">Ausfüllhinweise: </w:t>
      </w:r>
      <w:r>
        <w:t>Bitte bewerten Sie jede der nachfolgenden Aussagen anhand der vorgegebenen 5-stufigen Antwortskala. Sollten Sie einen Aspekt mangels Erfahrung oder Einblick nicht beurteilen können, wählen Sie bitte die Option „kann ich nicht beurteilen“.</w:t>
      </w:r>
    </w:p>
    <w:p>
      <w:pPr>
        <w:keepNext/>
        <w:spacing w:before="240" w:after="80"/>
      </w:pPr>
      <w:r>
        <w:rPr>
          <w:b/>
          <w:color w:val="1F4E79"/>
          <w:sz w:val="26"/>
        </w:rPr>
        <w:t>Antwortskala</w:t>
      </w:r>
    </w:p>
    <w:p>
      <w:r>
        <w:t>Für alle nachfolgenden Aussagen gilt das einheitliche Antwortformat:</w:t>
      </w:r>
    </w:p>
    <w:p>
      <w:pPr>
        <w:pStyle w:val="ListBullet"/>
        <w:spacing w:after="40"/>
      </w:pPr>
      <w:r>
        <w:rPr>
          <w:b/>
        </w:rPr>
        <w:t xml:space="preserve">1 </w:t>
      </w:r>
      <w:r>
        <w:t>= stimme überhaupt nicht zu</w:t>
      </w:r>
    </w:p>
    <w:p>
      <w:pPr>
        <w:pStyle w:val="ListBullet"/>
        <w:spacing w:after="40"/>
      </w:pPr>
      <w:r>
        <w:rPr>
          <w:b/>
        </w:rPr>
        <w:t xml:space="preserve">2 </w:t>
      </w:r>
      <w:r>
        <w:t>= stimme eher nicht zu</w:t>
      </w:r>
    </w:p>
    <w:p>
      <w:pPr>
        <w:pStyle w:val="ListBullet"/>
        <w:spacing w:after="40"/>
      </w:pPr>
      <w:r>
        <w:rPr>
          <w:b/>
        </w:rPr>
        <w:t xml:space="preserve">3 </w:t>
      </w:r>
      <w:r>
        <w:t>= stimme weder zu noch nicht zu</w:t>
      </w:r>
    </w:p>
    <w:p>
      <w:pPr>
        <w:pStyle w:val="ListBullet"/>
        <w:spacing w:after="40"/>
      </w:pPr>
      <w:r>
        <w:rPr>
          <w:b/>
        </w:rPr>
        <w:t xml:space="preserve">4 </w:t>
      </w:r>
      <w:r>
        <w:t>= stimme eher zu</w:t>
      </w:r>
    </w:p>
    <w:p>
      <w:pPr>
        <w:pStyle w:val="ListBullet"/>
        <w:spacing w:after="40"/>
      </w:pPr>
      <w:r>
        <w:rPr>
          <w:b/>
        </w:rPr>
        <w:t xml:space="preserve">5 </w:t>
      </w:r>
      <w:r>
        <w:t>= stimme vollständig zu</w:t>
      </w:r>
    </w:p>
    <w:p>
      <w:pPr>
        <w:pStyle w:val="ListBullet"/>
        <w:spacing w:after="40"/>
      </w:pPr>
      <w:r>
        <w:rPr>
          <w:b/>
        </w:rPr>
        <w:t xml:space="preserve">k. B. </w:t>
      </w:r>
      <w:r>
        <w:t>= kann ich nicht beurteilen (gesonderte Option ohne Zahlenwert bei fehlender Beurteilbarkeit)</w:t>
      </w:r>
    </w:p>
    <w:p>
      <w:pPr>
        <w:keepNext/>
        <w:spacing w:before="240" w:after="80"/>
      </w:pPr>
      <w:r>
        <w:rPr>
          <w:b/>
          <w:color w:val="1F4E79"/>
          <w:sz w:val="26"/>
        </w:rPr>
        <w:t>Fragebogen zur Selbsteinschätzung</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tblHeader/>
        </w:trPr>
        <w:tc>
          <w:tcPr>
            <w:tcW w:type="dxa" w:w="864"/>
            <w:shd w:fill="1F4E79" w:val="clear"/>
            <w:tcMar>
              <w:top w:w="120" w:type="dxa"/>
              <w:bottom w:w="120" w:type="dxa"/>
              <w:left w:w="100" w:type="dxa"/>
              <w:right w:w="100" w:type="dxa"/>
            </w:tcMar>
          </w:tcPr>
          <w:p>
            <w:pPr>
              <w:jc w:val="center"/>
            </w:pPr>
            <w:r>
              <w:rPr>
                <w:b/>
                <w:color w:val="FFFFFF"/>
                <w:sz w:val="19"/>
              </w:rPr>
              <w:t>ID</w:t>
            </w:r>
          </w:p>
        </w:tc>
        <w:tc>
          <w:tcPr>
            <w:tcW w:type="dxa" w:w="5472"/>
            <w:shd w:fill="1F4E79" w:val="clear"/>
            <w:tcMar>
              <w:top w:w="120" w:type="dxa"/>
              <w:bottom w:w="120" w:type="dxa"/>
              <w:left w:w="100" w:type="dxa"/>
              <w:right w:w="100" w:type="dxa"/>
            </w:tcMar>
          </w:tcPr>
          <w:p>
            <w:pPr>
              <w:jc w:val="left"/>
            </w:pPr>
            <w:r>
              <w:rPr>
                <w:b/>
                <w:color w:val="FFFFFF"/>
                <w:sz w:val="19"/>
              </w:rPr>
              <w:t>Aussage</w:t>
            </w:r>
          </w:p>
        </w:tc>
        <w:tc>
          <w:tcPr>
            <w:tcW w:type="dxa" w:w="576"/>
            <w:shd w:fill="1F4E79" w:val="clear"/>
            <w:tcMar>
              <w:top w:w="120" w:type="dxa"/>
              <w:bottom w:w="120" w:type="dxa"/>
              <w:left w:w="100" w:type="dxa"/>
              <w:right w:w="100" w:type="dxa"/>
            </w:tcMar>
          </w:tcPr>
          <w:p>
            <w:pPr>
              <w:jc w:val="center"/>
            </w:pPr>
            <w:r>
              <w:rPr>
                <w:b/>
                <w:color w:val="FFFFFF"/>
                <w:sz w:val="19"/>
              </w:rPr>
              <w:t>1</w:t>
            </w:r>
          </w:p>
        </w:tc>
        <w:tc>
          <w:tcPr>
            <w:tcW w:type="dxa" w:w="576"/>
            <w:shd w:fill="1F4E79" w:val="clear"/>
            <w:tcMar>
              <w:top w:w="120" w:type="dxa"/>
              <w:bottom w:w="120" w:type="dxa"/>
              <w:left w:w="100" w:type="dxa"/>
              <w:right w:w="100" w:type="dxa"/>
            </w:tcMar>
          </w:tcPr>
          <w:p>
            <w:pPr>
              <w:jc w:val="center"/>
            </w:pPr>
            <w:r>
              <w:rPr>
                <w:b/>
                <w:color w:val="FFFFFF"/>
                <w:sz w:val="19"/>
              </w:rPr>
              <w:t>2</w:t>
            </w:r>
          </w:p>
        </w:tc>
        <w:tc>
          <w:tcPr>
            <w:tcW w:type="dxa" w:w="576"/>
            <w:shd w:fill="1F4E79" w:val="clear"/>
            <w:tcMar>
              <w:top w:w="120" w:type="dxa"/>
              <w:bottom w:w="120" w:type="dxa"/>
              <w:left w:w="100" w:type="dxa"/>
              <w:right w:w="100" w:type="dxa"/>
            </w:tcMar>
          </w:tcPr>
          <w:p>
            <w:pPr>
              <w:jc w:val="center"/>
            </w:pPr>
            <w:r>
              <w:rPr>
                <w:b/>
                <w:color w:val="FFFFFF"/>
                <w:sz w:val="19"/>
              </w:rPr>
              <w:t>3</w:t>
            </w:r>
          </w:p>
        </w:tc>
        <w:tc>
          <w:tcPr>
            <w:tcW w:type="dxa" w:w="576"/>
            <w:shd w:fill="1F4E79" w:val="clear"/>
            <w:tcMar>
              <w:top w:w="120" w:type="dxa"/>
              <w:bottom w:w="120" w:type="dxa"/>
              <w:left w:w="100" w:type="dxa"/>
              <w:right w:w="100" w:type="dxa"/>
            </w:tcMar>
          </w:tcPr>
          <w:p>
            <w:pPr>
              <w:jc w:val="center"/>
            </w:pPr>
            <w:r>
              <w:rPr>
                <w:b/>
                <w:color w:val="FFFFFF"/>
                <w:sz w:val="19"/>
              </w:rPr>
              <w:t>4</w:t>
            </w:r>
          </w:p>
        </w:tc>
        <w:tc>
          <w:tcPr>
            <w:tcW w:type="dxa" w:w="576"/>
            <w:shd w:fill="1F4E79" w:val="clear"/>
            <w:tcMar>
              <w:top w:w="120" w:type="dxa"/>
              <w:bottom w:w="120" w:type="dxa"/>
              <w:left w:w="100" w:type="dxa"/>
              <w:right w:w="100" w:type="dxa"/>
            </w:tcMar>
          </w:tcPr>
          <w:p>
            <w:pPr>
              <w:jc w:val="center"/>
            </w:pPr>
            <w:r>
              <w:rPr>
                <w:b/>
                <w:color w:val="FFFFFF"/>
                <w:sz w:val="19"/>
              </w:rPr>
              <w:t>5</w:t>
            </w:r>
          </w:p>
        </w:tc>
        <w:tc>
          <w:tcPr>
            <w:tcW w:type="dxa" w:w="864"/>
            <w:shd w:fill="1F4E79" w:val="clear"/>
            <w:tcMar>
              <w:top w:w="120" w:type="dxa"/>
              <w:bottom w:w="120" w:type="dxa"/>
              <w:left w:w="100" w:type="dxa"/>
              <w:right w:w="100" w:type="dxa"/>
            </w:tcMar>
          </w:tcPr>
          <w:p>
            <w:pPr>
              <w:jc w:val="center"/>
            </w:pPr>
            <w:r>
              <w:rPr>
                <w:b/>
                <w:color w:val="FFFFFF"/>
                <w:sz w:val="19"/>
              </w:rPr>
              <w:t>k. B.</w:t>
            </w:r>
          </w:p>
        </w:tc>
      </w:tr>
      <w:tr>
        <w:trPr>
          <w:cantSplit/>
        </w:trPr>
        <w:tc>
          <w:tcPr>
            <w:tcW w:type="dxa" w:w="10080"/>
            <w:tcMar>
              <w:top w:w="80" w:type="dxa"/>
              <w:bottom w:w="80" w:type="dxa"/>
              <w:left w:w="100" w:type="dxa"/>
              <w:right w:w="100" w:type="dxa"/>
            </w:tcMar>
            <w:gridSpan w:val="8"/>
            <w:shd w:fill="F2F4F7" w:val="clear"/>
          </w:tcPr>
          <w:p>
            <w:r>
              <w:rPr>
                <w:b/>
                <w:color w:val="1F4E79"/>
                <w:sz w:val="20"/>
              </w:rPr>
              <w:t>Bereich A: Praktische Anwendung</w:t>
            </w:r>
            <w:r>
              <w:rPr>
                <w:i/>
                <w:color w:val="595959"/>
                <w:sz w:val="19"/>
              </w:rPr>
              <w:t xml:space="preserve">  (Fähigkeit zur beruflichen Nutzung)</w:t>
            </w:r>
          </w:p>
        </w:tc>
      </w:tr>
      <w:tr>
        <w:trPr>
          <w:cantSplit/>
        </w:trPr>
        <w:tc>
          <w:tcPr>
            <w:tcW w:type="dxa" w:w="864"/>
            <w:tcMar>
              <w:top w:w="80" w:type="dxa"/>
              <w:bottom w:w="80" w:type="dxa"/>
              <w:left w:w="100" w:type="dxa"/>
              <w:right w:w="100" w:type="dxa"/>
            </w:tcMar>
          </w:tcPr>
          <w:p>
            <w:pPr>
              <w:jc w:val="center"/>
            </w:pPr>
            <w:r>
              <w:rPr>
                <w:b/>
                <w:sz w:val="19"/>
              </w:rPr>
              <w:t>A1</w:t>
            </w:r>
          </w:p>
        </w:tc>
        <w:tc>
          <w:tcPr>
            <w:tcW w:type="dxa" w:w="5472"/>
            <w:tcMar>
              <w:top w:w="80" w:type="dxa"/>
              <w:bottom w:w="80" w:type="dxa"/>
              <w:left w:w="100" w:type="dxa"/>
              <w:right w:w="100" w:type="dxa"/>
            </w:tcMar>
          </w:tcPr>
          <w:p>
            <w:r>
              <w:rPr>
                <w:sz w:val="19"/>
              </w:rPr>
              <w:t>Ich kann generative KI gezielt einsetzen, um Entwürfe für Texte zu erstellen.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A2</w:t>
            </w:r>
          </w:p>
        </w:tc>
        <w:tc>
          <w:tcPr>
            <w:tcW w:type="dxa" w:w="5472"/>
            <w:tcMar>
              <w:top w:w="80" w:type="dxa"/>
              <w:bottom w:w="80" w:type="dxa"/>
              <w:left w:w="100" w:type="dxa"/>
              <w:right w:w="100" w:type="dxa"/>
            </w:tcMar>
          </w:tcPr>
          <w:p>
            <w:r>
              <w:rPr>
                <w:sz w:val="19"/>
              </w:rPr>
              <w:t>Ich kann generative KI nutzen, um längere Texte und Informationen zusammenzufassen.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A3</w:t>
            </w:r>
          </w:p>
        </w:tc>
        <w:tc>
          <w:tcPr>
            <w:tcW w:type="dxa" w:w="5472"/>
            <w:tcMar>
              <w:top w:w="80" w:type="dxa"/>
              <w:bottom w:w="80" w:type="dxa"/>
              <w:left w:w="100" w:type="dxa"/>
              <w:right w:w="100" w:type="dxa"/>
            </w:tcMar>
          </w:tcPr>
          <w:p>
            <w:r>
              <w:rPr>
                <w:sz w:val="19"/>
              </w:rPr>
              <w:t>Ich kann generative KI gewinnbringend einsetzen, um neue Ideen für meine Aufgaben zu entwickeln.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10080"/>
            <w:tcMar>
              <w:top w:w="80" w:type="dxa"/>
              <w:bottom w:w="80" w:type="dxa"/>
              <w:left w:w="100" w:type="dxa"/>
              <w:right w:w="100" w:type="dxa"/>
            </w:tcMar>
            <w:gridSpan w:val="8"/>
            <w:shd w:fill="F2F4F7" w:val="clear"/>
          </w:tcPr>
          <w:p>
            <w:r>
              <w:rPr>
                <w:b/>
                <w:color w:val="1F4E79"/>
                <w:sz w:val="20"/>
              </w:rPr>
              <w:t>Bereich B: Kritische Beurteilung</w:t>
            </w:r>
            <w:r>
              <w:rPr>
                <w:i/>
                <w:color w:val="595959"/>
                <w:sz w:val="19"/>
              </w:rPr>
              <w:t xml:space="preserve">  (Möglichkeiten, Grenzen und Ergebnisse beurteilen)</w:t>
            </w:r>
          </w:p>
        </w:tc>
      </w:tr>
      <w:tr>
        <w:trPr>
          <w:cantSplit/>
        </w:trPr>
        <w:tc>
          <w:tcPr>
            <w:tcW w:type="dxa" w:w="864"/>
            <w:tcMar>
              <w:top w:w="80" w:type="dxa"/>
              <w:bottom w:w="80" w:type="dxa"/>
              <w:left w:w="100" w:type="dxa"/>
              <w:right w:w="100" w:type="dxa"/>
            </w:tcMar>
          </w:tcPr>
          <w:p>
            <w:pPr>
              <w:jc w:val="center"/>
            </w:pPr>
            <w:r>
              <w:rPr>
                <w:b/>
                <w:sz w:val="19"/>
              </w:rPr>
              <w:t>B1</w:t>
            </w:r>
          </w:p>
        </w:tc>
        <w:tc>
          <w:tcPr>
            <w:tcW w:type="dxa" w:w="5472"/>
            <w:tcMar>
              <w:top w:w="80" w:type="dxa"/>
              <w:bottom w:w="80" w:type="dxa"/>
              <w:left w:w="100" w:type="dxa"/>
              <w:right w:w="100" w:type="dxa"/>
            </w:tcMar>
          </w:tcPr>
          <w:p>
            <w:r>
              <w:rPr>
                <w:sz w:val="19"/>
              </w:rPr>
              <w:t>Ich kann einschätzen, wo die Grenzen beim Einsatz generativer KI liegen.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B2</w:t>
            </w:r>
          </w:p>
        </w:tc>
        <w:tc>
          <w:tcPr>
            <w:tcW w:type="dxa" w:w="5472"/>
            <w:tcMar>
              <w:top w:w="80" w:type="dxa"/>
              <w:bottom w:w="80" w:type="dxa"/>
              <w:left w:w="100" w:type="dxa"/>
              <w:right w:w="100" w:type="dxa"/>
            </w:tcMar>
          </w:tcPr>
          <w:p>
            <w:r>
              <w:rPr>
                <w:sz w:val="19"/>
              </w:rPr>
              <w:t>Ich kann nachvollziehen, ob die von generativer KI erstellten Ergebnisse sachlich richtig sind.</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B3</w:t>
            </w:r>
          </w:p>
        </w:tc>
        <w:tc>
          <w:tcPr>
            <w:tcW w:type="dxa" w:w="5472"/>
            <w:tcMar>
              <w:top w:w="80" w:type="dxa"/>
              <w:bottom w:w="80" w:type="dxa"/>
              <w:left w:w="100" w:type="dxa"/>
              <w:right w:w="100" w:type="dxa"/>
            </w:tcMar>
          </w:tcPr>
          <w:p>
            <w:r>
              <w:rPr>
                <w:sz w:val="19"/>
              </w:rPr>
              <w:t>Ich kann nachvollziehen, wie generative KI zu ihren Arbeitsergebnissen kommt.</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10080"/>
            <w:tcMar>
              <w:top w:w="80" w:type="dxa"/>
              <w:bottom w:w="80" w:type="dxa"/>
              <w:left w:w="100" w:type="dxa"/>
              <w:right w:w="100" w:type="dxa"/>
            </w:tcMar>
            <w:gridSpan w:val="8"/>
            <w:shd w:fill="F2F4F7" w:val="clear"/>
          </w:tcPr>
          <w:p>
            <w:r>
              <w:rPr>
                <w:b/>
                <w:color w:val="1F4E79"/>
                <w:sz w:val="20"/>
              </w:rPr>
              <w:t>Bereich L: Lern- und Problemlöse-Selbstwirksamkeit</w:t>
            </w:r>
            <w:r>
              <w:rPr>
                <w:i/>
                <w:color w:val="595959"/>
                <w:sz w:val="19"/>
              </w:rPr>
              <w:t xml:space="preserve">  (Neues lernen und Hürden bewältigen)</w:t>
            </w:r>
          </w:p>
        </w:tc>
      </w:tr>
      <w:tr>
        <w:trPr>
          <w:cantSplit/>
        </w:trPr>
        <w:tc>
          <w:tcPr>
            <w:tcW w:type="dxa" w:w="864"/>
            <w:tcMar>
              <w:top w:w="80" w:type="dxa"/>
              <w:bottom w:w="80" w:type="dxa"/>
              <w:left w:w="100" w:type="dxa"/>
              <w:right w:w="100" w:type="dxa"/>
            </w:tcMar>
          </w:tcPr>
          <w:p>
            <w:pPr>
              <w:jc w:val="center"/>
            </w:pPr>
            <w:r>
              <w:rPr>
                <w:b/>
                <w:sz w:val="19"/>
              </w:rPr>
              <w:t>L1</w:t>
            </w:r>
          </w:p>
        </w:tc>
        <w:tc>
          <w:tcPr>
            <w:tcW w:type="dxa" w:w="5472"/>
            <w:tcMar>
              <w:top w:w="80" w:type="dxa"/>
              <w:bottom w:w="80" w:type="dxa"/>
              <w:left w:w="100" w:type="dxa"/>
              <w:right w:w="100" w:type="dxa"/>
            </w:tcMar>
          </w:tcPr>
          <w:p>
            <w:r>
              <w:rPr>
                <w:sz w:val="19"/>
              </w:rPr>
              <w:t>Ich kann Probleme beim Arbeiten mit generativer KI weitgehend selbstständig lösen.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L2</w:t>
            </w:r>
          </w:p>
        </w:tc>
        <w:tc>
          <w:tcPr>
            <w:tcW w:type="dxa" w:w="5472"/>
            <w:tcMar>
              <w:top w:w="80" w:type="dxa"/>
              <w:bottom w:w="80" w:type="dxa"/>
              <w:left w:w="100" w:type="dxa"/>
              <w:right w:w="100" w:type="dxa"/>
            </w:tcMar>
          </w:tcPr>
          <w:p>
            <w:r>
              <w:rPr>
                <w:sz w:val="19"/>
              </w:rPr>
              <w:t>Ich traue mir zu, auch anspruchsvolle Aufgaben bei der Arbeit mit generativer KI erfolgreich zu bewältigen.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L3</w:t>
            </w:r>
          </w:p>
        </w:tc>
        <w:tc>
          <w:tcPr>
            <w:tcW w:type="dxa" w:w="5472"/>
            <w:tcMar>
              <w:top w:w="80" w:type="dxa"/>
              <w:bottom w:w="80" w:type="dxa"/>
              <w:left w:w="100" w:type="dxa"/>
              <w:right w:w="100" w:type="dxa"/>
            </w:tcMar>
          </w:tcPr>
          <w:p>
            <w:r>
              <w:rPr>
                <w:sz w:val="19"/>
              </w:rPr>
              <w:t>Ich kann mich selbstständig in neue Funktionen und Entwicklungen generativer KI einarbeiten.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10080"/>
            <w:tcMar>
              <w:top w:w="80" w:type="dxa"/>
              <w:bottom w:w="80" w:type="dxa"/>
              <w:left w:w="100" w:type="dxa"/>
              <w:right w:w="100" w:type="dxa"/>
            </w:tcMar>
            <w:gridSpan w:val="8"/>
            <w:shd w:fill="F2F4F7" w:val="clear"/>
          </w:tcPr>
          <w:p>
            <w:r>
              <w:rPr>
                <w:b/>
                <w:color w:val="1F4E79"/>
                <w:sz w:val="20"/>
              </w:rPr>
              <w:t>Bereich V: Vertrauen</w:t>
            </w:r>
            <w:r>
              <w:rPr>
                <w:i/>
                <w:color w:val="595959"/>
                <w:sz w:val="19"/>
              </w:rPr>
              <w:t xml:space="preserve">  (Verlässlichkeit und Bereitschaft zur Zuarbeit)</w:t>
            </w:r>
          </w:p>
        </w:tc>
      </w:tr>
      <w:tr>
        <w:trPr>
          <w:cantSplit/>
        </w:trPr>
        <w:tc>
          <w:tcPr>
            <w:tcW w:type="dxa" w:w="864"/>
            <w:tcMar>
              <w:top w:w="80" w:type="dxa"/>
              <w:bottom w:w="80" w:type="dxa"/>
              <w:left w:w="100" w:type="dxa"/>
              <w:right w:w="100" w:type="dxa"/>
            </w:tcMar>
          </w:tcPr>
          <w:p>
            <w:pPr>
              <w:jc w:val="center"/>
            </w:pPr>
            <w:r>
              <w:rPr>
                <w:b/>
                <w:sz w:val="19"/>
              </w:rPr>
              <w:t>V1</w:t>
            </w:r>
          </w:p>
        </w:tc>
        <w:tc>
          <w:tcPr>
            <w:tcW w:type="dxa" w:w="5472"/>
            <w:tcMar>
              <w:top w:w="80" w:type="dxa"/>
              <w:bottom w:w="80" w:type="dxa"/>
              <w:left w:w="100" w:type="dxa"/>
              <w:right w:w="100" w:type="dxa"/>
            </w:tcMar>
          </w:tcPr>
          <w:p>
            <w:r>
              <w:rPr>
                <w:sz w:val="19"/>
              </w:rPr>
              <w:t>Ich schätze generative KI bei der Unterstützung meiner Arbeitsaufgaben als verlässlich ein.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V2</w:t>
            </w:r>
          </w:p>
        </w:tc>
        <w:tc>
          <w:tcPr>
            <w:tcW w:type="dxa" w:w="5472"/>
            <w:tcMar>
              <w:top w:w="80" w:type="dxa"/>
              <w:bottom w:w="80" w:type="dxa"/>
              <w:left w:w="100" w:type="dxa"/>
              <w:right w:w="100" w:type="dxa"/>
            </w:tcMar>
          </w:tcPr>
          <w:p>
            <w:r>
              <w:rPr>
                <w:sz w:val="19"/>
              </w:rPr>
              <w:t>Ich vertraue den Ergebnissen generativer KI.</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V3</w:t>
            </w:r>
          </w:p>
        </w:tc>
        <w:tc>
          <w:tcPr>
            <w:tcW w:type="dxa" w:w="5472"/>
            <w:tcMar>
              <w:top w:w="80" w:type="dxa"/>
              <w:bottom w:w="80" w:type="dxa"/>
              <w:left w:w="100" w:type="dxa"/>
              <w:right w:w="100" w:type="dxa"/>
            </w:tcMar>
          </w:tcPr>
          <w:p>
            <w:r>
              <w:rPr>
                <w:sz w:val="19"/>
              </w:rPr>
              <w:t>Ich bin bereit, die Ergebnisse generativer KI als Zuarbeit für meine Aufgaben zu nutzen.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10080"/>
            <w:tcMar>
              <w:top w:w="80" w:type="dxa"/>
              <w:bottom w:w="80" w:type="dxa"/>
              <w:left w:w="100" w:type="dxa"/>
              <w:right w:w="100" w:type="dxa"/>
            </w:tcMar>
            <w:gridSpan w:val="8"/>
            <w:shd w:fill="F2F4F7" w:val="clear"/>
          </w:tcPr>
          <w:p>
            <w:r>
              <w:rPr>
                <w:b/>
                <w:color w:val="1F4E79"/>
                <w:sz w:val="20"/>
              </w:rPr>
              <w:t>Bereich E: Ethische Beurteilungsfähigkeit</w:t>
            </w:r>
            <w:r>
              <w:rPr>
                <w:i/>
                <w:color w:val="595959"/>
                <w:sz w:val="19"/>
              </w:rPr>
              <w:t xml:space="preserve">  (Folgen, Ethik und Vorurteile beurteilen)</w:t>
            </w:r>
          </w:p>
        </w:tc>
      </w:tr>
      <w:tr>
        <w:trPr>
          <w:cantSplit/>
        </w:trPr>
        <w:tc>
          <w:tcPr>
            <w:tcW w:type="dxa" w:w="864"/>
            <w:tcMar>
              <w:top w:w="80" w:type="dxa"/>
              <w:bottom w:w="80" w:type="dxa"/>
              <w:left w:w="100" w:type="dxa"/>
              <w:right w:w="100" w:type="dxa"/>
            </w:tcMar>
          </w:tcPr>
          <w:p>
            <w:pPr>
              <w:jc w:val="center"/>
            </w:pPr>
            <w:r>
              <w:rPr>
                <w:b/>
                <w:sz w:val="19"/>
              </w:rPr>
              <w:t>E1</w:t>
            </w:r>
          </w:p>
        </w:tc>
        <w:tc>
          <w:tcPr>
            <w:tcW w:type="dxa" w:w="5472"/>
            <w:tcMar>
              <w:top w:w="80" w:type="dxa"/>
              <w:bottom w:w="80" w:type="dxa"/>
              <w:left w:w="100" w:type="dxa"/>
              <w:right w:w="100" w:type="dxa"/>
            </w:tcMar>
          </w:tcPr>
          <w:p>
            <w:r>
              <w:rPr>
                <w:sz w:val="19"/>
              </w:rPr>
              <w:t>Ich kann abschätzen, welche Auswirkungen die Nutzung generativer KI auf andere Personen im Unternehmen hat.</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E2</w:t>
            </w:r>
          </w:p>
        </w:tc>
        <w:tc>
          <w:tcPr>
            <w:tcW w:type="dxa" w:w="5472"/>
            <w:tcMar>
              <w:top w:w="80" w:type="dxa"/>
              <w:bottom w:w="80" w:type="dxa"/>
              <w:left w:w="100" w:type="dxa"/>
              <w:right w:w="100" w:type="dxa"/>
            </w:tcMar>
          </w:tcPr>
          <w:p>
            <w:r>
              <w:rPr>
                <w:sz w:val="19"/>
              </w:rPr>
              <w:t>Ich kann beurteilen, welche ethischen Aspekte bei der Verwendung generierter Inhalte zu beachten sind.</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E3</w:t>
            </w:r>
          </w:p>
        </w:tc>
        <w:tc>
          <w:tcPr>
            <w:tcW w:type="dxa" w:w="5472"/>
            <w:tcMar>
              <w:top w:w="80" w:type="dxa"/>
              <w:bottom w:w="80" w:type="dxa"/>
              <w:left w:w="100" w:type="dxa"/>
              <w:right w:w="100" w:type="dxa"/>
            </w:tcMar>
          </w:tcPr>
          <w:p>
            <w:r>
              <w:rPr>
                <w:sz w:val="19"/>
              </w:rPr>
              <w:t>Ich kann erkennen, ob von generativer KI erstellte Texte Vorurteile enthalten.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10080"/>
            <w:tcMar>
              <w:top w:w="80" w:type="dxa"/>
              <w:bottom w:w="80" w:type="dxa"/>
              <w:left w:w="100" w:type="dxa"/>
              <w:right w:w="100" w:type="dxa"/>
            </w:tcMar>
            <w:gridSpan w:val="8"/>
            <w:shd w:fill="F2F4F7" w:val="clear"/>
          </w:tcPr>
          <w:p>
            <w:r>
              <w:rPr>
                <w:b/>
                <w:color w:val="1F4E79"/>
                <w:sz w:val="20"/>
              </w:rPr>
              <w:t>Bereich N: Nutzungsabsicht</w:t>
            </w:r>
            <w:r>
              <w:rPr>
                <w:i/>
                <w:color w:val="595959"/>
                <w:sz w:val="19"/>
              </w:rPr>
              <w:t xml:space="preserve">  (Ergänzende Absicht zum beruflichen Einsatz)</w:t>
            </w:r>
          </w:p>
        </w:tc>
      </w:tr>
      <w:tr>
        <w:trPr>
          <w:cantSplit/>
        </w:trPr>
        <w:tc>
          <w:tcPr>
            <w:tcW w:type="dxa" w:w="864"/>
            <w:tcMar>
              <w:top w:w="80" w:type="dxa"/>
              <w:bottom w:w="80" w:type="dxa"/>
              <w:left w:w="100" w:type="dxa"/>
              <w:right w:w="100" w:type="dxa"/>
            </w:tcMar>
          </w:tcPr>
          <w:p>
            <w:pPr>
              <w:jc w:val="center"/>
            </w:pPr>
            <w:r>
              <w:rPr>
                <w:b/>
                <w:sz w:val="19"/>
              </w:rPr>
              <w:t>N1</w:t>
            </w:r>
          </w:p>
        </w:tc>
        <w:tc>
          <w:tcPr>
            <w:tcW w:type="dxa" w:w="5472"/>
            <w:tcMar>
              <w:top w:w="80" w:type="dxa"/>
              <w:bottom w:w="80" w:type="dxa"/>
              <w:left w:w="100" w:type="dxa"/>
              <w:right w:w="100" w:type="dxa"/>
            </w:tcMar>
          </w:tcPr>
          <w:p>
            <w:r>
              <w:rPr>
                <w:sz w:val="19"/>
              </w:rPr>
              <w:t>Ich beabsichtige, generative KI künftig für meine beruflichen Aufgaben einzusetzen.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N2</w:t>
            </w:r>
          </w:p>
        </w:tc>
        <w:tc>
          <w:tcPr>
            <w:tcW w:type="dxa" w:w="5472"/>
            <w:tcMar>
              <w:top w:w="80" w:type="dxa"/>
              <w:bottom w:w="80" w:type="dxa"/>
              <w:left w:w="100" w:type="dxa"/>
              <w:right w:w="100" w:type="dxa"/>
            </w:tcMar>
          </w:tcPr>
          <w:p>
            <w:r>
              <w:rPr>
                <w:sz w:val="19"/>
              </w:rPr>
              <w:t>Ich plane, generative KI für meine beruflichen Aufgaben zu nutzen.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r>
        <w:trPr>
          <w:cantSplit/>
        </w:trPr>
        <w:tc>
          <w:tcPr>
            <w:tcW w:type="dxa" w:w="864"/>
            <w:tcMar>
              <w:top w:w="80" w:type="dxa"/>
              <w:bottom w:w="80" w:type="dxa"/>
              <w:left w:w="100" w:type="dxa"/>
              <w:right w:w="100" w:type="dxa"/>
            </w:tcMar>
          </w:tcPr>
          <w:p>
            <w:pPr>
              <w:jc w:val="center"/>
            </w:pPr>
            <w:r>
              <w:rPr>
                <w:b/>
                <w:sz w:val="19"/>
              </w:rPr>
              <w:t>N3</w:t>
            </w:r>
          </w:p>
        </w:tc>
        <w:tc>
          <w:tcPr>
            <w:tcW w:type="dxa" w:w="5472"/>
            <w:tcMar>
              <w:top w:w="80" w:type="dxa"/>
              <w:bottom w:w="80" w:type="dxa"/>
              <w:left w:w="100" w:type="dxa"/>
              <w:right w:w="100" w:type="dxa"/>
            </w:tcMar>
          </w:tcPr>
          <w:p>
            <w:r>
              <w:rPr>
                <w:sz w:val="19"/>
              </w:rPr>
              <w:t>Wenn generative KI an meinem Arbeitsplatz verfügbar wäre, würde ich sie für meine Aufgaben einsetzen.</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576"/>
            <w:tcMar>
              <w:top w:w="80" w:type="dxa"/>
              <w:bottom w:w="80" w:type="dxa"/>
              <w:left w:w="100" w:type="dxa"/>
              <w:right w:w="100" w:type="dxa"/>
            </w:tcMar>
          </w:tcPr>
          <w:p>
            <w:pPr>
              <w:jc w:val="center"/>
            </w:pPr>
            <w:r>
              <w:rPr>
                <w:color w:val="595959"/>
                <w:sz w:val="18"/>
              </w:rPr>
              <w:t>[  ]</w:t>
            </w:r>
          </w:p>
        </w:tc>
        <w:tc>
          <w:tcPr>
            <w:tcW w:type="dxa" w:w="864"/>
            <w:tcMar>
              <w:top w:w="80" w:type="dxa"/>
              <w:bottom w:w="80" w:type="dxa"/>
              <w:left w:w="100" w:type="dxa"/>
              <w:right w:w="100" w:type="dxa"/>
            </w:tcMar>
          </w:tcPr>
          <w:p>
            <w:pPr>
              <w:jc w:val="center"/>
            </w:pPr>
            <w:r>
              <w:rPr>
                <w:color w:val="595959"/>
                <w:sz w:val="18"/>
              </w:rPr>
              <w:t>[  ]</w:t>
            </w:r>
          </w:p>
        </w:tc>
      </w:tr>
    </w:tbl>
    <w:p>
      <w:pPr>
        <w:spacing w:after="320"/>
      </w:pPr>
    </w:p>
    <w:p>
      <w:pPr>
        <w:keepNext/>
        <w:spacing w:before="320" w:after="120"/>
      </w:pPr>
      <w:r>
        <w:rPr>
          <w:b/>
          <w:color w:val="1F4E79"/>
          <w:sz w:val="32"/>
        </w:rPr>
        <w:t>TEIL II: Begleitmaterial zur Dokumentation</w:t>
      </w:r>
    </w:p>
    <w:p>
      <w:pPr>
        <w:keepNext/>
        <w:spacing w:before="240" w:after="80"/>
      </w:pPr>
      <w:r>
        <w:rPr>
          <w:b/>
          <w:color w:val="1F4E79"/>
          <w:sz w:val="26"/>
        </w:rPr>
        <w:t>1. Kurze Arbeitsdefinition und theoretische Begründung der Bereiche</w:t>
      </w:r>
    </w:p>
    <w:p>
      <w:r>
        <w:t>Die individuelle KI-Readiness wird hier als mehrdimensionales Konstrukt verstanden: Sie umfasst die subjektive Selbsteinschätzung berufsbezogener Fähigkeiten, das Vertrauen in die Technologie und die ergänzende Verhaltensabsicht einzelner Beschäftigter bei spezifischen Aufgaben. Die sechs Bereiche stützen sich auf folgende Grundlagen:</w:t>
      </w:r>
    </w:p>
    <w:p>
      <w:pPr>
        <w:pStyle w:val="ListBullet"/>
        <w:spacing w:after="80"/>
      </w:pPr>
      <w:r>
        <w:rPr>
          <w:b/>
        </w:rPr>
        <w:t xml:space="preserve">Theorien: </w:t>
      </w:r>
      <w:r>
        <w:t>Die Theory of Planned Behavior (TPB) bzw. der Reasoned Action Approach (RAA) begründen den Zusammenhang zwischen subjektiver Verhaltenskontrolle (Selbstwirksamkeit) und Verhaltensabsicht (N). Die Self-Efficacy Theory (SET) nach Bandura fundiert das Zutrauen in Problemlösung und Lernen (L). Das relationale Vertrauensmodell nach Mayer, Davis und Schoorman (1995) begründet die Dimensionen Verlässlichkeit und Vulnerabilität (V).</w:t>
      </w:r>
    </w:p>
    <w:p>
      <w:pPr>
        <w:pStyle w:val="ListBullet"/>
        <w:spacing w:after="80"/>
      </w:pPr>
      <w:r>
        <w:rPr>
          <w:b/>
        </w:rPr>
        <w:t xml:space="preserve">Kompetenz-Frameworks: </w:t>
      </w:r>
      <w:r>
        <w:t>Das pädagogische AI-Literacy-Framework nach Ng et al. (2021) sowie Long und Magerko (2020) liefert die Dimensionen Anwenden (A), Verstehen/Beurteilen (B) und ethisches Bewerten (E). Der Bezugsrahmen von Jöhnk et al. (2021) betont Awareness, Upskilling und Bias-Vermeidung, während Luckin et al. (2022) die Ausrichtung von KI als menschliche Zuarbeit (Augmentation) hervorheben.</w:t>
      </w:r>
    </w:p>
    <w:p>
      <w:pPr>
        <w:pStyle w:val="ListBullet"/>
        <w:spacing w:after="80"/>
      </w:pPr>
      <w:r>
        <w:rPr>
          <w:b/>
        </w:rPr>
        <w:t xml:space="preserve">Konkrete Skalen: </w:t>
      </w:r>
      <w:r>
        <w:t>Als Vorlagen dienen die Meta AI Literacy Scale (MAILS) von Carolus et al. (2023), die Skala zu Trust towards LLMs von Do Khac et al. (2025) sowie Skalen aus Datensatz_v1 (Fragebogen 2 und 3).</w:t>
      </w:r>
    </w:p>
    <w:p>
      <w:pPr>
        <w:keepNext/>
        <w:spacing w:before="240" w:after="80"/>
      </w:pPr>
      <w:r>
        <w:rPr>
          <w:b/>
          <w:color w:val="1F4E79"/>
          <w:sz w:val="26"/>
        </w:rPr>
        <w:t>2. Herkunftstabelle der Aussagen</w:t>
      </w:r>
    </w:p>
    <w:p>
      <w:r>
        <w:t>Die nachfolgende Tabelle dokumentiert die wissenschaftliche Herkunft, den Originalwortlaut, den Grad der Übernahme und die spezifische Anpassungserklärung für jede der 18 Aussagen des Fragebogens.</w:t>
      </w:r>
    </w:p>
    <w:p>
      <w:pPr>
        <w:sectPr>
          <w:headerReference w:type="default" r:id="rId9"/>
          <w:footerReference w:type="default" r:id="rId10"/>
          <w:pgSz w:w="12240" w:h="15840"/>
          <w:pgMar w:top="1080" w:right="1080" w:bottom="1080" w:left="1080" w:header="720" w:footer="720" w:gutter="0"/>
          <w:cols w:space="720"/>
          <w:docGrid w:linePitch="360"/>
        </w:sectPr>
      </w:pPr>
    </w:p>
    <w:tbl>
      <w:tblPr>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trPr>
        <w:tc>
          <w:tcPr>
            <w:tcW w:type="dxa" w:w="864"/>
            <w:shd w:fill="1F4E79" w:val="clear"/>
            <w:tcMar>
              <w:top w:w="120" w:type="dxa"/>
              <w:bottom w:w="120" w:type="dxa"/>
              <w:left w:w="100" w:type="dxa"/>
              <w:right w:w="100" w:type="dxa"/>
            </w:tcMar>
          </w:tcPr>
          <w:p>
            <w:pPr>
              <w:jc w:val="left"/>
            </w:pPr>
            <w:r>
              <w:rPr>
                <w:b/>
                <w:color w:val="FFFFFF"/>
                <w:sz w:val="19"/>
              </w:rPr>
              <w:t>Item-ID</w:t>
            </w:r>
          </w:p>
        </w:tc>
        <w:tc>
          <w:tcPr>
            <w:tcW w:type="dxa" w:w="1872"/>
            <w:shd w:fill="1F4E79" w:val="clear"/>
            <w:tcMar>
              <w:top w:w="120" w:type="dxa"/>
              <w:bottom w:w="120" w:type="dxa"/>
              <w:left w:w="100" w:type="dxa"/>
              <w:right w:w="100" w:type="dxa"/>
            </w:tcMar>
          </w:tcPr>
          <w:p>
            <w:pPr>
              <w:jc w:val="left"/>
            </w:pPr>
            <w:r>
              <w:rPr>
                <w:b/>
                <w:color w:val="FFFFFF"/>
                <w:sz w:val="19"/>
              </w:rPr>
              <w:t>Bereich</w:t>
            </w:r>
          </w:p>
        </w:tc>
        <w:tc>
          <w:tcPr>
            <w:tcW w:type="dxa" w:w="2304"/>
            <w:shd w:fill="1F4E79" w:val="clear"/>
            <w:tcMar>
              <w:top w:w="120" w:type="dxa"/>
              <w:bottom w:w="120" w:type="dxa"/>
              <w:left w:w="100" w:type="dxa"/>
              <w:right w:w="100" w:type="dxa"/>
            </w:tcMar>
          </w:tcPr>
          <w:p>
            <w:pPr>
              <w:jc w:val="left"/>
            </w:pPr>
            <w:r>
              <w:rPr>
                <w:b/>
                <w:color w:val="FFFFFF"/>
                <w:sz w:val="19"/>
              </w:rPr>
              <w:t>Quelle &amp; Belegstelle</w:t>
            </w:r>
          </w:p>
        </w:tc>
        <w:tc>
          <w:tcPr>
            <w:tcW w:type="dxa" w:w="3456"/>
            <w:shd w:fill="1F4E79" w:val="clear"/>
            <w:tcMar>
              <w:top w:w="120" w:type="dxa"/>
              <w:bottom w:w="120" w:type="dxa"/>
              <w:left w:w="100" w:type="dxa"/>
              <w:right w:w="100" w:type="dxa"/>
            </w:tcMar>
          </w:tcPr>
          <w:p>
            <w:pPr>
              <w:jc w:val="left"/>
            </w:pPr>
            <w:r>
              <w:rPr>
                <w:b/>
                <w:color w:val="FFFFFF"/>
                <w:sz w:val="19"/>
              </w:rPr>
              <w:t>Originalitem (Wortlaut)</w:t>
            </w:r>
          </w:p>
        </w:tc>
        <w:tc>
          <w:tcPr>
            <w:tcW w:type="dxa" w:w="1584"/>
            <w:shd w:fill="1F4E79" w:val="clear"/>
            <w:tcMar>
              <w:top w:w="120" w:type="dxa"/>
              <w:bottom w:w="120" w:type="dxa"/>
              <w:left w:w="100" w:type="dxa"/>
              <w:right w:w="100" w:type="dxa"/>
            </w:tcMar>
          </w:tcPr>
          <w:p>
            <w:pPr>
              <w:jc w:val="left"/>
            </w:pPr>
            <w:r>
              <w:rPr>
                <w:b/>
                <w:color w:val="FFFFFF"/>
                <w:sz w:val="19"/>
              </w:rPr>
              <w:t>Grad der Übernahme</w:t>
            </w:r>
          </w:p>
        </w:tc>
        <w:tc>
          <w:tcPr>
            <w:tcW w:type="dxa" w:w="4320"/>
            <w:shd w:fill="1F4E79" w:val="clear"/>
            <w:tcMar>
              <w:top w:w="120" w:type="dxa"/>
              <w:bottom w:w="120" w:type="dxa"/>
              <w:left w:w="100" w:type="dxa"/>
              <w:right w:w="100" w:type="dxa"/>
            </w:tcMar>
          </w:tcPr>
          <w:p>
            <w:pPr>
              <w:jc w:val="left"/>
            </w:pPr>
            <w:r>
              <w:rPr>
                <w:b/>
                <w:color w:val="FFFFFF"/>
                <w:sz w:val="19"/>
              </w:rPr>
              <w:t>Erklärung der Anpassung</w:t>
            </w:r>
          </w:p>
        </w:tc>
      </w:tr>
      <w:tr>
        <w:trPr>
          <w:cantSplit/>
        </w:trPr>
        <w:tc>
          <w:tcPr>
            <w:tcW w:type="dxa" w:w="864"/>
            <w:shd w:fill="FFFFFF" w:val="clear"/>
            <w:tcMar>
              <w:top w:w="80" w:type="dxa"/>
              <w:bottom w:w="80" w:type="dxa"/>
              <w:left w:w="100" w:type="dxa"/>
              <w:right w:w="100" w:type="dxa"/>
            </w:tcMar>
          </w:tcPr>
          <w:p>
            <w:r>
              <w:rPr>
                <w:b/>
                <w:sz w:val="18"/>
              </w:rPr>
              <w:t>A1</w:t>
            </w:r>
          </w:p>
        </w:tc>
        <w:tc>
          <w:tcPr>
            <w:tcW w:type="dxa" w:w="1872"/>
            <w:shd w:fill="FFFFFF" w:val="clear"/>
            <w:tcMar>
              <w:top w:w="80" w:type="dxa"/>
              <w:bottom w:w="80" w:type="dxa"/>
              <w:left w:w="100" w:type="dxa"/>
              <w:right w:w="100" w:type="dxa"/>
            </w:tcMar>
          </w:tcPr>
          <w:p>
            <w:r>
              <w:rPr>
                <w:sz w:val="18"/>
              </w:rPr>
              <w:t>Praktische Anwendung</w:t>
            </w:r>
          </w:p>
        </w:tc>
        <w:tc>
          <w:tcPr>
            <w:tcW w:type="dxa" w:w="2304"/>
            <w:shd w:fill="FFFFFF" w:val="clear"/>
            <w:tcMar>
              <w:top w:w="80" w:type="dxa"/>
              <w:bottom w:w="80" w:type="dxa"/>
              <w:left w:w="100" w:type="dxa"/>
              <w:right w:w="100" w:type="dxa"/>
            </w:tcMar>
          </w:tcPr>
          <w:p>
            <w:r>
              <w:rPr>
                <w:sz w:val="18"/>
              </w:rPr>
              <w:t>Carolus et al. (2023, Anhang A)</w:t>
            </w:r>
          </w:p>
        </w:tc>
        <w:tc>
          <w:tcPr>
            <w:tcW w:type="dxa" w:w="3456"/>
            <w:shd w:fill="FFFFFF" w:val="clear"/>
            <w:tcMar>
              <w:top w:w="80" w:type="dxa"/>
              <w:bottom w:w="80" w:type="dxa"/>
              <w:left w:w="100" w:type="dxa"/>
              <w:right w:w="100" w:type="dxa"/>
            </w:tcMar>
          </w:tcPr>
          <w:p>
            <w:r>
              <w:rPr>
                <w:sz w:val="18"/>
              </w:rPr>
              <w:t>„In everyday life, I can interact with AI in a way that makes my tasks easier.“ (MAILS, Apply AI, Item 4)</w:t>
            </w:r>
          </w:p>
        </w:tc>
        <w:tc>
          <w:tcPr>
            <w:tcW w:type="dxa" w:w="1584"/>
            <w:shd w:fill="FFFFFF" w:val="clear"/>
            <w:tcMar>
              <w:top w:w="80" w:type="dxa"/>
              <w:bottom w:w="80" w:type="dxa"/>
              <w:left w:w="100" w:type="dxa"/>
              <w:right w:w="100" w:type="dxa"/>
            </w:tcMar>
          </w:tcPr>
          <w:p>
            <w:r>
              <w:rPr>
                <w:sz w:val="18"/>
              </w:rPr>
              <w:t>Stärker angepasst</w:t>
            </w:r>
          </w:p>
        </w:tc>
        <w:tc>
          <w:tcPr>
            <w:tcW w:type="dxa" w:w="4320"/>
            <w:shd w:fill="FFFFFF" w:val="clear"/>
            <w:tcMar>
              <w:top w:w="80" w:type="dxa"/>
              <w:bottom w:w="80" w:type="dxa"/>
              <w:left w:w="100" w:type="dxa"/>
              <w:right w:w="100" w:type="dxa"/>
            </w:tcMar>
          </w:tcPr>
          <w:p>
            <w:r>
              <w:rPr>
                <w:sz w:val="18"/>
              </w:rPr>
              <w:t>Transfer vom privaten Alltagskontext auf die berufliche Arbeitsaufgabe „Textentwürfe erstellen“.</w:t>
            </w:r>
          </w:p>
        </w:tc>
      </w:tr>
      <w:tr>
        <w:trPr>
          <w:cantSplit/>
        </w:trPr>
        <w:tc>
          <w:tcPr>
            <w:tcW w:type="dxa" w:w="864"/>
            <w:shd w:fill="FAFAFA" w:val="clear"/>
            <w:tcMar>
              <w:top w:w="80" w:type="dxa"/>
              <w:bottom w:w="80" w:type="dxa"/>
              <w:left w:w="100" w:type="dxa"/>
              <w:right w:w="100" w:type="dxa"/>
            </w:tcMar>
          </w:tcPr>
          <w:p>
            <w:r>
              <w:rPr>
                <w:b/>
                <w:sz w:val="18"/>
              </w:rPr>
              <w:t>A2</w:t>
            </w:r>
          </w:p>
        </w:tc>
        <w:tc>
          <w:tcPr>
            <w:tcW w:type="dxa" w:w="1872"/>
            <w:shd w:fill="FAFAFA" w:val="clear"/>
            <w:tcMar>
              <w:top w:w="80" w:type="dxa"/>
              <w:bottom w:w="80" w:type="dxa"/>
              <w:left w:w="100" w:type="dxa"/>
              <w:right w:w="100" w:type="dxa"/>
            </w:tcMar>
          </w:tcPr>
          <w:p>
            <w:r>
              <w:rPr>
                <w:sz w:val="18"/>
              </w:rPr>
              <w:t>Praktische Anwendung</w:t>
            </w:r>
          </w:p>
        </w:tc>
        <w:tc>
          <w:tcPr>
            <w:tcW w:type="dxa" w:w="2304"/>
            <w:shd w:fill="FAFAFA" w:val="clear"/>
            <w:tcMar>
              <w:top w:w="80" w:type="dxa"/>
              <w:bottom w:w="80" w:type="dxa"/>
              <w:left w:w="100" w:type="dxa"/>
              <w:right w:w="100" w:type="dxa"/>
            </w:tcMar>
          </w:tcPr>
          <w:p>
            <w:r>
              <w:rPr>
                <w:sz w:val="18"/>
              </w:rPr>
              <w:t>Carolus et al. (2023, Anhang A)</w:t>
            </w:r>
          </w:p>
        </w:tc>
        <w:tc>
          <w:tcPr>
            <w:tcW w:type="dxa" w:w="3456"/>
            <w:shd w:fill="FAFAFA" w:val="clear"/>
            <w:tcMar>
              <w:top w:w="80" w:type="dxa"/>
              <w:bottom w:w="80" w:type="dxa"/>
              <w:left w:w="100" w:type="dxa"/>
              <w:right w:w="100" w:type="dxa"/>
            </w:tcMar>
          </w:tcPr>
          <w:p>
            <w:r>
              <w:rPr>
                <w:sz w:val="18"/>
              </w:rPr>
              <w:t>„I can use artificial intelligence meaningfully to achieve my everyday goals.“ (MAILS, Apply AI, Item 3)</w:t>
            </w:r>
          </w:p>
        </w:tc>
        <w:tc>
          <w:tcPr>
            <w:tcW w:type="dxa" w:w="1584"/>
            <w:shd w:fill="FAFAFA" w:val="clear"/>
            <w:tcMar>
              <w:top w:w="80" w:type="dxa"/>
              <w:bottom w:w="80" w:type="dxa"/>
              <w:left w:w="100" w:type="dxa"/>
              <w:right w:w="100" w:type="dxa"/>
            </w:tcMar>
          </w:tcPr>
          <w:p>
            <w:r>
              <w:rPr>
                <w:sz w:val="18"/>
              </w:rPr>
              <w:t>Stärker angepasst</w:t>
            </w:r>
          </w:p>
        </w:tc>
        <w:tc>
          <w:tcPr>
            <w:tcW w:type="dxa" w:w="4320"/>
            <w:shd w:fill="FAFAFA" w:val="clear"/>
            <w:tcMar>
              <w:top w:w="80" w:type="dxa"/>
              <w:bottom w:w="80" w:type="dxa"/>
              <w:left w:w="100" w:type="dxa"/>
              <w:right w:w="100" w:type="dxa"/>
            </w:tcMar>
          </w:tcPr>
          <w:p>
            <w:r>
              <w:rPr>
                <w:sz w:val="18"/>
              </w:rPr>
              <w:t>Kontextualisierung auf das Zusammenfassen von längeren Texten und Informationen als vorgegebene Arbeitsaufgabe.</w:t>
            </w:r>
          </w:p>
        </w:tc>
      </w:tr>
      <w:tr>
        <w:trPr>
          <w:cantSplit/>
        </w:trPr>
        <w:tc>
          <w:tcPr>
            <w:tcW w:type="dxa" w:w="864"/>
            <w:shd w:fill="FFFFFF" w:val="clear"/>
            <w:tcMar>
              <w:top w:w="80" w:type="dxa"/>
              <w:bottom w:w="80" w:type="dxa"/>
              <w:left w:w="100" w:type="dxa"/>
              <w:right w:w="100" w:type="dxa"/>
            </w:tcMar>
          </w:tcPr>
          <w:p>
            <w:r>
              <w:rPr>
                <w:b/>
                <w:sz w:val="18"/>
              </w:rPr>
              <w:t>A3</w:t>
            </w:r>
          </w:p>
        </w:tc>
        <w:tc>
          <w:tcPr>
            <w:tcW w:type="dxa" w:w="1872"/>
            <w:shd w:fill="FFFFFF" w:val="clear"/>
            <w:tcMar>
              <w:top w:w="80" w:type="dxa"/>
              <w:bottom w:w="80" w:type="dxa"/>
              <w:left w:w="100" w:type="dxa"/>
              <w:right w:w="100" w:type="dxa"/>
            </w:tcMar>
          </w:tcPr>
          <w:p>
            <w:r>
              <w:rPr>
                <w:sz w:val="18"/>
              </w:rPr>
              <w:t>Praktische Anwendung</w:t>
            </w:r>
          </w:p>
        </w:tc>
        <w:tc>
          <w:tcPr>
            <w:tcW w:type="dxa" w:w="2304"/>
            <w:shd w:fill="FFFFFF" w:val="clear"/>
            <w:tcMar>
              <w:top w:w="80" w:type="dxa"/>
              <w:bottom w:w="80" w:type="dxa"/>
              <w:left w:w="100" w:type="dxa"/>
              <w:right w:w="100" w:type="dxa"/>
            </w:tcMar>
          </w:tcPr>
          <w:p>
            <w:r>
              <w:rPr>
                <w:sz w:val="18"/>
              </w:rPr>
              <w:t>Carolus et al. (2023, Anhang A); Datensatz_v1 (Questionnaire 3, Abschn. 1.2)</w:t>
            </w:r>
          </w:p>
        </w:tc>
        <w:tc>
          <w:tcPr>
            <w:tcW w:type="dxa" w:w="3456"/>
            <w:shd w:fill="FFFFFF" w:val="clear"/>
            <w:tcMar>
              <w:top w:w="80" w:type="dxa"/>
              <w:bottom w:w="80" w:type="dxa"/>
              <w:left w:w="100" w:type="dxa"/>
              <w:right w:w="100" w:type="dxa"/>
            </w:tcMar>
          </w:tcPr>
          <w:p>
            <w:r>
              <w:rPr>
                <w:sz w:val="18"/>
              </w:rPr>
              <w:t>„I can operate AI applications in everyday life.“ (MAILS, Item 1) / „Ich arbeite an Aufgaben, bei denen ich viele unterschiedliche Lösungsideen entwickle […]“</w:t>
            </w:r>
          </w:p>
        </w:tc>
        <w:tc>
          <w:tcPr>
            <w:tcW w:type="dxa" w:w="1584"/>
            <w:shd w:fill="FFFFFF" w:val="clear"/>
            <w:tcMar>
              <w:top w:w="80" w:type="dxa"/>
              <w:bottom w:w="80" w:type="dxa"/>
              <w:left w:w="100" w:type="dxa"/>
              <w:right w:w="100" w:type="dxa"/>
            </w:tcMar>
          </w:tcPr>
          <w:p>
            <w:r>
              <w:rPr>
                <w:sz w:val="18"/>
              </w:rPr>
              <w:t>Stärker angepasst</w:t>
            </w:r>
          </w:p>
        </w:tc>
        <w:tc>
          <w:tcPr>
            <w:tcW w:type="dxa" w:w="4320"/>
            <w:shd w:fill="FFFFFF" w:val="clear"/>
            <w:tcMar>
              <w:top w:w="80" w:type="dxa"/>
              <w:bottom w:w="80" w:type="dxa"/>
              <w:left w:w="100" w:type="dxa"/>
              <w:right w:w="100" w:type="dxa"/>
            </w:tcMar>
          </w:tcPr>
          <w:p>
            <w:r>
              <w:rPr>
                <w:sz w:val="18"/>
              </w:rPr>
              <w:t>Synthese aus allgemeiner Anwendungskompetenz und der im Aufgabenmodell verankerten Kreativitätsaufgabe (Ideenentwicklung).</w:t>
            </w:r>
          </w:p>
        </w:tc>
      </w:tr>
      <w:tr>
        <w:trPr>
          <w:cantSplit/>
        </w:trPr>
        <w:tc>
          <w:tcPr>
            <w:tcW w:type="dxa" w:w="864"/>
            <w:shd w:fill="FAFAFA" w:val="clear"/>
            <w:tcMar>
              <w:top w:w="80" w:type="dxa"/>
              <w:bottom w:w="80" w:type="dxa"/>
              <w:left w:w="100" w:type="dxa"/>
              <w:right w:w="100" w:type="dxa"/>
            </w:tcMar>
          </w:tcPr>
          <w:p>
            <w:r>
              <w:rPr>
                <w:b/>
                <w:sz w:val="18"/>
              </w:rPr>
              <w:t>B1</w:t>
            </w:r>
          </w:p>
        </w:tc>
        <w:tc>
          <w:tcPr>
            <w:tcW w:type="dxa" w:w="1872"/>
            <w:shd w:fill="FAFAFA" w:val="clear"/>
            <w:tcMar>
              <w:top w:w="80" w:type="dxa"/>
              <w:bottom w:w="80" w:type="dxa"/>
              <w:left w:w="100" w:type="dxa"/>
              <w:right w:w="100" w:type="dxa"/>
            </w:tcMar>
          </w:tcPr>
          <w:p>
            <w:r>
              <w:rPr>
                <w:sz w:val="18"/>
              </w:rPr>
              <w:t>Kritische Beurteilung</w:t>
            </w:r>
          </w:p>
        </w:tc>
        <w:tc>
          <w:tcPr>
            <w:tcW w:type="dxa" w:w="2304"/>
            <w:shd w:fill="FAFAFA" w:val="clear"/>
            <w:tcMar>
              <w:top w:w="80" w:type="dxa"/>
              <w:bottom w:w="80" w:type="dxa"/>
              <w:left w:w="100" w:type="dxa"/>
              <w:right w:w="100" w:type="dxa"/>
            </w:tcMar>
          </w:tcPr>
          <w:p>
            <w:r>
              <w:rPr>
                <w:sz w:val="18"/>
              </w:rPr>
              <w:t>Carolus et al. (2023, Anhang A)</w:t>
            </w:r>
          </w:p>
        </w:tc>
        <w:tc>
          <w:tcPr>
            <w:tcW w:type="dxa" w:w="3456"/>
            <w:shd w:fill="FAFAFA" w:val="clear"/>
            <w:tcMar>
              <w:top w:w="80" w:type="dxa"/>
              <w:bottom w:w="80" w:type="dxa"/>
              <w:left w:w="100" w:type="dxa"/>
              <w:right w:w="100" w:type="dxa"/>
            </w:tcMar>
          </w:tcPr>
          <w:p>
            <w:r>
              <w:rPr>
                <w:sz w:val="18"/>
              </w:rPr>
              <w:t>„I can assess what the limitations and opportunities of using an AI are.“ (MAILS, Understand AI, Item 9)</w:t>
            </w:r>
          </w:p>
        </w:tc>
        <w:tc>
          <w:tcPr>
            <w:tcW w:type="dxa" w:w="1584"/>
            <w:shd w:fill="FAFAFA" w:val="clear"/>
            <w:tcMar>
              <w:top w:w="80" w:type="dxa"/>
              <w:bottom w:w="80" w:type="dxa"/>
              <w:left w:w="100" w:type="dxa"/>
              <w:right w:w="100" w:type="dxa"/>
            </w:tcMar>
          </w:tcPr>
          <w:p>
            <w:r>
              <w:rPr>
                <w:sz w:val="18"/>
              </w:rPr>
              <w:t>Stärker angepasst</w:t>
            </w:r>
          </w:p>
        </w:tc>
        <w:tc>
          <w:tcPr>
            <w:tcW w:type="dxa" w:w="4320"/>
            <w:shd w:fill="FAFAFA" w:val="clear"/>
            <w:tcMar>
              <w:top w:w="80" w:type="dxa"/>
              <w:bottom w:w="80" w:type="dxa"/>
              <w:left w:w="100" w:type="dxa"/>
              <w:right w:w="100" w:type="dxa"/>
            </w:tcMar>
          </w:tcPr>
          <w:p>
            <w:r>
              <w:rPr>
                <w:sz w:val="18"/>
              </w:rPr>
              <w:t>Das Originalitem erfasst Grenzen und Chancen („limitations and opportunities“) gemeinsam. Um Doppelbewertungen auszuschließen (Single-Thought-Regel) und die kritische Beurteilungskompetenz zu fokussieren, wurde das Item gezielt auf Einsatzgrenzen eingegrenzt und auf generative KI bezogen.</w:t>
            </w:r>
          </w:p>
        </w:tc>
      </w:tr>
      <w:tr>
        <w:trPr>
          <w:cantSplit/>
        </w:trPr>
        <w:tc>
          <w:tcPr>
            <w:tcW w:type="dxa" w:w="864"/>
            <w:shd w:fill="FFFFFF" w:val="clear"/>
            <w:tcMar>
              <w:top w:w="80" w:type="dxa"/>
              <w:bottom w:w="80" w:type="dxa"/>
              <w:left w:w="100" w:type="dxa"/>
              <w:right w:w="100" w:type="dxa"/>
            </w:tcMar>
          </w:tcPr>
          <w:p>
            <w:r>
              <w:rPr>
                <w:b/>
                <w:sz w:val="18"/>
              </w:rPr>
              <w:t>B2</w:t>
            </w:r>
          </w:p>
        </w:tc>
        <w:tc>
          <w:tcPr>
            <w:tcW w:type="dxa" w:w="1872"/>
            <w:shd w:fill="FFFFFF" w:val="clear"/>
            <w:tcMar>
              <w:top w:w="80" w:type="dxa"/>
              <w:bottom w:w="80" w:type="dxa"/>
              <w:left w:w="100" w:type="dxa"/>
              <w:right w:w="100" w:type="dxa"/>
            </w:tcMar>
          </w:tcPr>
          <w:p>
            <w:r>
              <w:rPr>
                <w:sz w:val="18"/>
              </w:rPr>
              <w:t>Kritische Beurteilung</w:t>
            </w:r>
          </w:p>
        </w:tc>
        <w:tc>
          <w:tcPr>
            <w:tcW w:type="dxa" w:w="2304"/>
            <w:shd w:fill="FFFFFF" w:val="clear"/>
            <w:tcMar>
              <w:top w:w="80" w:type="dxa"/>
              <w:bottom w:w="80" w:type="dxa"/>
              <w:left w:w="100" w:type="dxa"/>
              <w:right w:w="100" w:type="dxa"/>
            </w:tcMar>
          </w:tcPr>
          <w:p>
            <w:r>
              <w:rPr>
                <w:sz w:val="18"/>
              </w:rPr>
              <w:t>Paper Fragebogen 4 (Do Khac et al., 2025, Abschn. 4.1); Datensatz_v1 (Questionnaire 4, Item X3)</w:t>
            </w:r>
          </w:p>
        </w:tc>
        <w:tc>
          <w:tcPr>
            <w:tcW w:type="dxa" w:w="3456"/>
            <w:shd w:fill="FFFFFF" w:val="clear"/>
            <w:tcMar>
              <w:top w:w="80" w:type="dxa"/>
              <w:bottom w:w="80" w:type="dxa"/>
              <w:left w:w="100" w:type="dxa"/>
              <w:right w:w="100" w:type="dxa"/>
            </w:tcMar>
          </w:tcPr>
          <w:p>
            <w:r>
              <w:rPr>
                <w:sz w:val="18"/>
              </w:rPr>
              <w:t>„Ich kann nachvollziehen, ob die Ergebnisse von ChatGPT richtig sind.“ / „I can understand if the results of ChatGPT are correct.“</w:t>
            </w:r>
          </w:p>
        </w:tc>
        <w:tc>
          <w:tcPr>
            <w:tcW w:type="dxa" w:w="1584"/>
            <w:shd w:fill="FFFFFF" w:val="clear"/>
            <w:tcMar>
              <w:top w:w="80" w:type="dxa"/>
              <w:bottom w:w="80" w:type="dxa"/>
              <w:left w:w="100" w:type="dxa"/>
              <w:right w:w="100" w:type="dxa"/>
            </w:tcMar>
          </w:tcPr>
          <w:p>
            <w:r>
              <w:rPr>
                <w:sz w:val="18"/>
              </w:rPr>
              <w:t>Eng übernommen</w:t>
            </w:r>
          </w:p>
        </w:tc>
        <w:tc>
          <w:tcPr>
            <w:tcW w:type="dxa" w:w="4320"/>
            <w:shd w:fill="FFFFFF" w:val="clear"/>
            <w:tcMar>
              <w:top w:w="80" w:type="dxa"/>
              <w:bottom w:w="80" w:type="dxa"/>
              <w:left w:w="100" w:type="dxa"/>
              <w:right w:w="100" w:type="dxa"/>
            </w:tcMar>
          </w:tcPr>
          <w:p>
            <w:r>
              <w:rPr>
                <w:sz w:val="18"/>
              </w:rPr>
              <w:t>Verallgemeinerung des spezifischen Werkzeugs von ChatGPT auf generative KI; Fokus auf Ergebniskontrolle.</w:t>
            </w:r>
          </w:p>
        </w:tc>
      </w:tr>
      <w:tr>
        <w:trPr>
          <w:cantSplit/>
        </w:trPr>
        <w:tc>
          <w:tcPr>
            <w:tcW w:type="dxa" w:w="864"/>
            <w:shd w:fill="FAFAFA" w:val="clear"/>
            <w:tcMar>
              <w:top w:w="80" w:type="dxa"/>
              <w:bottom w:w="80" w:type="dxa"/>
              <w:left w:w="100" w:type="dxa"/>
              <w:right w:w="100" w:type="dxa"/>
            </w:tcMar>
          </w:tcPr>
          <w:p>
            <w:r>
              <w:rPr>
                <w:b/>
                <w:sz w:val="18"/>
              </w:rPr>
              <w:t>B3</w:t>
            </w:r>
          </w:p>
        </w:tc>
        <w:tc>
          <w:tcPr>
            <w:tcW w:type="dxa" w:w="1872"/>
            <w:shd w:fill="FAFAFA" w:val="clear"/>
            <w:tcMar>
              <w:top w:w="80" w:type="dxa"/>
              <w:bottom w:w="80" w:type="dxa"/>
              <w:left w:w="100" w:type="dxa"/>
              <w:right w:w="100" w:type="dxa"/>
            </w:tcMar>
          </w:tcPr>
          <w:p>
            <w:r>
              <w:rPr>
                <w:sz w:val="18"/>
              </w:rPr>
              <w:t>Kritische Beurteilung</w:t>
            </w:r>
          </w:p>
        </w:tc>
        <w:tc>
          <w:tcPr>
            <w:tcW w:type="dxa" w:w="2304"/>
            <w:shd w:fill="FAFAFA" w:val="clear"/>
            <w:tcMar>
              <w:top w:w="80" w:type="dxa"/>
              <w:bottom w:w="80" w:type="dxa"/>
              <w:left w:w="100" w:type="dxa"/>
              <w:right w:w="100" w:type="dxa"/>
            </w:tcMar>
          </w:tcPr>
          <w:p>
            <w:r>
              <w:rPr>
                <w:sz w:val="18"/>
              </w:rPr>
              <w:t>Paper Fragebogen 4 (Do Khac et al., 2025, Abschn. 4.1); Datensatz_v1 (Questionnaire 4, Item X2)</w:t>
            </w:r>
          </w:p>
        </w:tc>
        <w:tc>
          <w:tcPr>
            <w:tcW w:type="dxa" w:w="3456"/>
            <w:shd w:fill="FAFAFA" w:val="clear"/>
            <w:tcMar>
              <w:top w:w="80" w:type="dxa"/>
              <w:bottom w:w="80" w:type="dxa"/>
              <w:left w:w="100" w:type="dxa"/>
              <w:right w:w="100" w:type="dxa"/>
            </w:tcMar>
          </w:tcPr>
          <w:p>
            <w:r>
              <w:rPr>
                <w:sz w:val="18"/>
              </w:rPr>
              <w:t>„Ich kann nachvollziehen, wie ChatGPT zu den Ergebnissen kommt.“ / „I can understand how ChatGPT achieves its results.“</w:t>
            </w:r>
          </w:p>
        </w:tc>
        <w:tc>
          <w:tcPr>
            <w:tcW w:type="dxa" w:w="1584"/>
            <w:shd w:fill="FAFAFA" w:val="clear"/>
            <w:tcMar>
              <w:top w:w="80" w:type="dxa"/>
              <w:bottom w:w="80" w:type="dxa"/>
              <w:left w:w="100" w:type="dxa"/>
              <w:right w:w="100" w:type="dxa"/>
            </w:tcMar>
          </w:tcPr>
          <w:p>
            <w:r>
              <w:rPr>
                <w:sz w:val="18"/>
              </w:rPr>
              <w:t>Eng übernommen</w:t>
            </w:r>
          </w:p>
        </w:tc>
        <w:tc>
          <w:tcPr>
            <w:tcW w:type="dxa" w:w="4320"/>
            <w:shd w:fill="FAFAFA" w:val="clear"/>
            <w:tcMar>
              <w:top w:w="80" w:type="dxa"/>
              <w:bottom w:w="80" w:type="dxa"/>
              <w:left w:w="100" w:type="dxa"/>
              <w:right w:w="100" w:type="dxa"/>
            </w:tcMar>
          </w:tcPr>
          <w:p>
            <w:r>
              <w:rPr>
                <w:sz w:val="18"/>
              </w:rPr>
              <w:t>Verallgemeinerung des Werkzeugs von ChatGPT auf generative KI zur Erfassung der Prozessnachvollziehbarkeit.</w:t>
            </w:r>
          </w:p>
        </w:tc>
      </w:tr>
      <w:tr>
        <w:trPr>
          <w:cantSplit/>
        </w:trPr>
        <w:tc>
          <w:tcPr>
            <w:tcW w:type="dxa" w:w="864"/>
            <w:shd w:fill="FFFFFF" w:val="clear"/>
            <w:tcMar>
              <w:top w:w="80" w:type="dxa"/>
              <w:bottom w:w="80" w:type="dxa"/>
              <w:left w:w="100" w:type="dxa"/>
              <w:right w:w="100" w:type="dxa"/>
            </w:tcMar>
          </w:tcPr>
          <w:p>
            <w:r>
              <w:rPr>
                <w:b/>
                <w:sz w:val="18"/>
              </w:rPr>
              <w:t>L1</w:t>
            </w:r>
          </w:p>
        </w:tc>
        <w:tc>
          <w:tcPr>
            <w:tcW w:type="dxa" w:w="1872"/>
            <w:shd w:fill="FFFFFF" w:val="clear"/>
            <w:tcMar>
              <w:top w:w="80" w:type="dxa"/>
              <w:bottom w:w="80" w:type="dxa"/>
              <w:left w:w="100" w:type="dxa"/>
              <w:right w:w="100" w:type="dxa"/>
            </w:tcMar>
          </w:tcPr>
          <w:p>
            <w:r>
              <w:rPr>
                <w:sz w:val="18"/>
              </w:rPr>
              <w:t>Lern- &amp; Problemlöse-SW</w:t>
            </w:r>
          </w:p>
        </w:tc>
        <w:tc>
          <w:tcPr>
            <w:tcW w:type="dxa" w:w="2304"/>
            <w:shd w:fill="FFFFFF" w:val="clear"/>
            <w:tcMar>
              <w:top w:w="80" w:type="dxa"/>
              <w:bottom w:w="80" w:type="dxa"/>
              <w:left w:w="100" w:type="dxa"/>
              <w:right w:w="100" w:type="dxa"/>
            </w:tcMar>
          </w:tcPr>
          <w:p>
            <w:r>
              <w:rPr>
                <w:sz w:val="18"/>
              </w:rPr>
              <w:t>Carolus et al. (2023, Anhang A)</w:t>
            </w:r>
          </w:p>
        </w:tc>
        <w:tc>
          <w:tcPr>
            <w:tcW w:type="dxa" w:w="3456"/>
            <w:shd w:fill="FFFFFF" w:val="clear"/>
            <w:tcMar>
              <w:top w:w="80" w:type="dxa"/>
              <w:bottom w:w="80" w:type="dxa"/>
              <w:left w:w="100" w:type="dxa"/>
              <w:right w:w="100" w:type="dxa"/>
            </w:tcMar>
          </w:tcPr>
          <w:p>
            <w:r>
              <w:rPr>
                <w:sz w:val="18"/>
              </w:rPr>
              <w:t>„I can handle most problems in dealing with artificial intelligence well on my own.“ (MAILS, Problem solving, Item 24)</w:t>
            </w:r>
          </w:p>
        </w:tc>
        <w:tc>
          <w:tcPr>
            <w:tcW w:type="dxa" w:w="1584"/>
            <w:shd w:fill="FFFFFF" w:val="clear"/>
            <w:tcMar>
              <w:top w:w="80" w:type="dxa"/>
              <w:bottom w:w="80" w:type="dxa"/>
              <w:left w:w="100" w:type="dxa"/>
              <w:right w:w="100" w:type="dxa"/>
            </w:tcMar>
          </w:tcPr>
          <w:p>
            <w:r>
              <w:rPr>
                <w:sz w:val="18"/>
              </w:rPr>
              <w:t>Eng übernommen</w:t>
            </w:r>
          </w:p>
        </w:tc>
        <w:tc>
          <w:tcPr>
            <w:tcW w:type="dxa" w:w="4320"/>
            <w:shd w:fill="FFFFFF" w:val="clear"/>
            <w:tcMar>
              <w:top w:w="80" w:type="dxa"/>
              <w:bottom w:w="80" w:type="dxa"/>
              <w:left w:w="100" w:type="dxa"/>
              <w:right w:w="100" w:type="dxa"/>
            </w:tcMar>
          </w:tcPr>
          <w:p>
            <w:r>
              <w:rPr>
                <w:sz w:val="18"/>
              </w:rPr>
              <w:t>Deutsche Übersetzung und Anpassung auf generative KI zur Erfassung eigenständiger Problemlösung.</w:t>
            </w:r>
          </w:p>
        </w:tc>
      </w:tr>
      <w:tr>
        <w:trPr>
          <w:cantSplit/>
        </w:trPr>
        <w:tc>
          <w:tcPr>
            <w:tcW w:type="dxa" w:w="864"/>
            <w:shd w:fill="FAFAFA" w:val="clear"/>
            <w:tcMar>
              <w:top w:w="80" w:type="dxa"/>
              <w:bottom w:w="80" w:type="dxa"/>
              <w:left w:w="100" w:type="dxa"/>
              <w:right w:w="100" w:type="dxa"/>
            </w:tcMar>
          </w:tcPr>
          <w:p>
            <w:r>
              <w:rPr>
                <w:b/>
                <w:sz w:val="18"/>
              </w:rPr>
              <w:t>L2</w:t>
            </w:r>
          </w:p>
        </w:tc>
        <w:tc>
          <w:tcPr>
            <w:tcW w:type="dxa" w:w="1872"/>
            <w:shd w:fill="FAFAFA" w:val="clear"/>
            <w:tcMar>
              <w:top w:w="80" w:type="dxa"/>
              <w:bottom w:w="80" w:type="dxa"/>
              <w:left w:w="100" w:type="dxa"/>
              <w:right w:w="100" w:type="dxa"/>
            </w:tcMar>
          </w:tcPr>
          <w:p>
            <w:r>
              <w:rPr>
                <w:sz w:val="18"/>
              </w:rPr>
              <w:t>Lern- &amp; Problemlöse-SW</w:t>
            </w:r>
          </w:p>
        </w:tc>
        <w:tc>
          <w:tcPr>
            <w:tcW w:type="dxa" w:w="2304"/>
            <w:shd w:fill="FAFAFA" w:val="clear"/>
            <w:tcMar>
              <w:top w:w="80" w:type="dxa"/>
              <w:bottom w:w="80" w:type="dxa"/>
              <w:left w:w="100" w:type="dxa"/>
              <w:right w:w="100" w:type="dxa"/>
            </w:tcMar>
          </w:tcPr>
          <w:p>
            <w:r>
              <w:rPr>
                <w:sz w:val="18"/>
              </w:rPr>
              <w:t>Carolus et al. (2023, Anhang A)</w:t>
            </w:r>
          </w:p>
        </w:tc>
        <w:tc>
          <w:tcPr>
            <w:tcW w:type="dxa" w:w="3456"/>
            <w:shd w:fill="FAFAFA" w:val="clear"/>
            <w:tcMar>
              <w:top w:w="80" w:type="dxa"/>
              <w:bottom w:w="80" w:type="dxa"/>
              <w:left w:w="100" w:type="dxa"/>
              <w:right w:w="100" w:type="dxa"/>
            </w:tcMar>
          </w:tcPr>
          <w:p>
            <w:r>
              <w:rPr>
                <w:sz w:val="18"/>
              </w:rPr>
              <w:t>„I can also usually solve strenuous and complicated tasks when working with artificial intelligence well.“ (MAILS, Item 25)</w:t>
            </w:r>
          </w:p>
        </w:tc>
        <w:tc>
          <w:tcPr>
            <w:tcW w:type="dxa" w:w="1584"/>
            <w:shd w:fill="FAFAFA" w:val="clear"/>
            <w:tcMar>
              <w:top w:w="80" w:type="dxa"/>
              <w:bottom w:w="80" w:type="dxa"/>
              <w:left w:w="100" w:type="dxa"/>
              <w:right w:w="100" w:type="dxa"/>
            </w:tcMar>
          </w:tcPr>
          <w:p>
            <w:r>
              <w:rPr>
                <w:sz w:val="18"/>
              </w:rPr>
              <w:t>Eng übernommen</w:t>
            </w:r>
          </w:p>
        </w:tc>
        <w:tc>
          <w:tcPr>
            <w:tcW w:type="dxa" w:w="4320"/>
            <w:shd w:fill="FAFAFA" w:val="clear"/>
            <w:tcMar>
              <w:top w:w="80" w:type="dxa"/>
              <w:bottom w:w="80" w:type="dxa"/>
              <w:left w:w="100" w:type="dxa"/>
              <w:right w:w="100" w:type="dxa"/>
            </w:tcMar>
          </w:tcPr>
          <w:p>
            <w:r>
              <w:rPr>
                <w:sz w:val="18"/>
              </w:rPr>
              <w:t>Übersetzung und Formulierung als Zutrauen („Ich traue mir zu ...“) bei anspruchsvollen Aufgaben.</w:t>
            </w:r>
          </w:p>
        </w:tc>
      </w:tr>
      <w:tr>
        <w:trPr>
          <w:cantSplit/>
        </w:trPr>
        <w:tc>
          <w:tcPr>
            <w:tcW w:type="dxa" w:w="864"/>
            <w:shd w:fill="FFFFFF" w:val="clear"/>
            <w:tcMar>
              <w:top w:w="80" w:type="dxa"/>
              <w:bottom w:w="80" w:type="dxa"/>
              <w:left w:w="100" w:type="dxa"/>
              <w:right w:w="100" w:type="dxa"/>
            </w:tcMar>
          </w:tcPr>
          <w:p>
            <w:r>
              <w:rPr>
                <w:b/>
                <w:sz w:val="18"/>
              </w:rPr>
              <w:t>L3</w:t>
            </w:r>
          </w:p>
        </w:tc>
        <w:tc>
          <w:tcPr>
            <w:tcW w:type="dxa" w:w="1872"/>
            <w:shd w:fill="FFFFFF" w:val="clear"/>
            <w:tcMar>
              <w:top w:w="80" w:type="dxa"/>
              <w:bottom w:w="80" w:type="dxa"/>
              <w:left w:w="100" w:type="dxa"/>
              <w:right w:w="100" w:type="dxa"/>
            </w:tcMar>
          </w:tcPr>
          <w:p>
            <w:r>
              <w:rPr>
                <w:sz w:val="18"/>
              </w:rPr>
              <w:t>Lern- &amp; Problemlöse-SW</w:t>
            </w:r>
          </w:p>
        </w:tc>
        <w:tc>
          <w:tcPr>
            <w:tcW w:type="dxa" w:w="2304"/>
            <w:shd w:fill="FFFFFF" w:val="clear"/>
            <w:tcMar>
              <w:top w:w="80" w:type="dxa"/>
              <w:bottom w:w="80" w:type="dxa"/>
              <w:left w:w="100" w:type="dxa"/>
              <w:right w:w="100" w:type="dxa"/>
            </w:tcMar>
          </w:tcPr>
          <w:p>
            <w:r>
              <w:rPr>
                <w:sz w:val="18"/>
              </w:rPr>
              <w:t>Carolus et al. (2023, Anhang A)</w:t>
            </w:r>
          </w:p>
        </w:tc>
        <w:tc>
          <w:tcPr>
            <w:tcW w:type="dxa" w:w="3456"/>
            <w:shd w:fill="FFFFFF" w:val="clear"/>
            <w:tcMar>
              <w:top w:w="80" w:type="dxa"/>
              <w:bottom w:w="80" w:type="dxa"/>
              <w:left w:w="100" w:type="dxa"/>
              <w:right w:w="100" w:type="dxa"/>
            </w:tcMar>
          </w:tcPr>
          <w:p>
            <w:r>
              <w:rPr>
                <w:sz w:val="18"/>
              </w:rPr>
              <w:t>„I can keep up with the latest innovations in AI applications.“ (MAILS, Learning, Item 26)</w:t>
            </w:r>
          </w:p>
        </w:tc>
        <w:tc>
          <w:tcPr>
            <w:tcW w:type="dxa" w:w="1584"/>
            <w:shd w:fill="FFFFFF" w:val="clear"/>
            <w:tcMar>
              <w:top w:w="80" w:type="dxa"/>
              <w:bottom w:w="80" w:type="dxa"/>
              <w:left w:w="100" w:type="dxa"/>
              <w:right w:w="100" w:type="dxa"/>
            </w:tcMar>
          </w:tcPr>
          <w:p>
            <w:r>
              <w:rPr>
                <w:sz w:val="18"/>
              </w:rPr>
              <w:t>Stärker angepasst</w:t>
            </w:r>
          </w:p>
        </w:tc>
        <w:tc>
          <w:tcPr>
            <w:tcW w:type="dxa" w:w="4320"/>
            <w:shd w:fill="FFFFFF" w:val="clear"/>
            <w:tcMar>
              <w:top w:w="80" w:type="dxa"/>
              <w:bottom w:w="80" w:type="dxa"/>
              <w:left w:w="100" w:type="dxa"/>
              <w:right w:w="100" w:type="dxa"/>
            </w:tcMar>
          </w:tcPr>
          <w:p>
            <w:r>
              <w:rPr>
                <w:sz w:val="18"/>
              </w:rPr>
              <w:t>Umformulierung zur Selbsteinschätzung des selbstständigen Einarbeitens in neue Funktionen und Entwicklungen.</w:t>
            </w:r>
          </w:p>
        </w:tc>
      </w:tr>
      <w:tr>
        <w:trPr>
          <w:cantSplit/>
        </w:trPr>
        <w:tc>
          <w:tcPr>
            <w:tcW w:type="dxa" w:w="864"/>
            <w:shd w:fill="FAFAFA" w:val="clear"/>
            <w:tcMar>
              <w:top w:w="80" w:type="dxa"/>
              <w:bottom w:w="80" w:type="dxa"/>
              <w:left w:w="100" w:type="dxa"/>
              <w:right w:w="100" w:type="dxa"/>
            </w:tcMar>
          </w:tcPr>
          <w:p>
            <w:r>
              <w:rPr>
                <w:b/>
                <w:sz w:val="18"/>
              </w:rPr>
              <w:t>V1</w:t>
            </w:r>
          </w:p>
        </w:tc>
        <w:tc>
          <w:tcPr>
            <w:tcW w:type="dxa" w:w="1872"/>
            <w:shd w:fill="FAFAFA" w:val="clear"/>
            <w:tcMar>
              <w:top w:w="80" w:type="dxa"/>
              <w:bottom w:w="80" w:type="dxa"/>
              <w:left w:w="100" w:type="dxa"/>
              <w:right w:w="100" w:type="dxa"/>
            </w:tcMar>
          </w:tcPr>
          <w:p>
            <w:r>
              <w:rPr>
                <w:sz w:val="18"/>
              </w:rPr>
              <w:t>Vertrauen</w:t>
            </w:r>
          </w:p>
        </w:tc>
        <w:tc>
          <w:tcPr>
            <w:tcW w:type="dxa" w:w="2304"/>
            <w:shd w:fill="FAFAFA" w:val="clear"/>
            <w:tcMar>
              <w:top w:w="80" w:type="dxa"/>
              <w:bottom w:w="80" w:type="dxa"/>
              <w:left w:w="100" w:type="dxa"/>
              <w:right w:w="100" w:type="dxa"/>
            </w:tcMar>
          </w:tcPr>
          <w:p>
            <w:r>
              <w:rPr>
                <w:sz w:val="18"/>
              </w:rPr>
              <w:t>Datensatz_v1 (Questionnaire 2 / PowerPilot, Abschn. 5); Paper Fragebogen 2 (Abschn. 3.1)</w:t>
            </w:r>
          </w:p>
        </w:tc>
        <w:tc>
          <w:tcPr>
            <w:tcW w:type="dxa" w:w="3456"/>
            <w:shd w:fill="FAFAFA" w:val="clear"/>
            <w:tcMar>
              <w:top w:w="80" w:type="dxa"/>
              <w:bottom w:w="80" w:type="dxa"/>
              <w:left w:w="100" w:type="dxa"/>
              <w:right w:w="100" w:type="dxa"/>
            </w:tcMar>
          </w:tcPr>
          <w:p>
            <w:r>
              <w:rPr>
                <w:sz w:val="18"/>
              </w:rPr>
              <w:t>„PowerPilot is reliable.“ (Trust, Item 1)</w:t>
            </w:r>
          </w:p>
        </w:tc>
        <w:tc>
          <w:tcPr>
            <w:tcW w:type="dxa" w:w="1584"/>
            <w:shd w:fill="FAFAFA" w:val="clear"/>
            <w:tcMar>
              <w:top w:w="80" w:type="dxa"/>
              <w:bottom w:w="80" w:type="dxa"/>
              <w:left w:w="100" w:type="dxa"/>
              <w:right w:w="100" w:type="dxa"/>
            </w:tcMar>
          </w:tcPr>
          <w:p>
            <w:r>
              <w:rPr>
                <w:sz w:val="18"/>
              </w:rPr>
              <w:t>Stärker angepasst</w:t>
            </w:r>
          </w:p>
        </w:tc>
        <w:tc>
          <w:tcPr>
            <w:tcW w:type="dxa" w:w="4320"/>
            <w:shd w:fill="FAFAFA" w:val="clear"/>
            <w:tcMar>
              <w:top w:w="80" w:type="dxa"/>
              <w:bottom w:w="80" w:type="dxa"/>
              <w:left w:w="100" w:type="dxa"/>
              <w:right w:w="100" w:type="dxa"/>
            </w:tcMar>
          </w:tcPr>
          <w:p>
            <w:r>
              <w:rPr>
                <w:sz w:val="18"/>
              </w:rPr>
              <w:t>Übertragung der Eigenschaft Verlässlichkeit („reliable“) von der App PowerPilot auf generative KI zur Arbeitsunterstützung.</w:t>
            </w:r>
          </w:p>
        </w:tc>
      </w:tr>
      <w:tr>
        <w:trPr>
          <w:cantSplit/>
        </w:trPr>
        <w:tc>
          <w:tcPr>
            <w:tcW w:type="dxa" w:w="864"/>
            <w:shd w:fill="FFFFFF" w:val="clear"/>
            <w:tcMar>
              <w:top w:w="80" w:type="dxa"/>
              <w:bottom w:w="80" w:type="dxa"/>
              <w:left w:w="100" w:type="dxa"/>
              <w:right w:w="100" w:type="dxa"/>
            </w:tcMar>
          </w:tcPr>
          <w:p>
            <w:r>
              <w:rPr>
                <w:b/>
                <w:sz w:val="18"/>
              </w:rPr>
              <w:t>V2</w:t>
            </w:r>
          </w:p>
        </w:tc>
        <w:tc>
          <w:tcPr>
            <w:tcW w:type="dxa" w:w="1872"/>
            <w:shd w:fill="FFFFFF" w:val="clear"/>
            <w:tcMar>
              <w:top w:w="80" w:type="dxa"/>
              <w:bottom w:w="80" w:type="dxa"/>
              <w:left w:w="100" w:type="dxa"/>
              <w:right w:w="100" w:type="dxa"/>
            </w:tcMar>
          </w:tcPr>
          <w:p>
            <w:r>
              <w:rPr>
                <w:sz w:val="18"/>
              </w:rPr>
              <w:t>Vertrauen</w:t>
            </w:r>
          </w:p>
        </w:tc>
        <w:tc>
          <w:tcPr>
            <w:tcW w:type="dxa" w:w="2304"/>
            <w:shd w:fill="FFFFFF" w:val="clear"/>
            <w:tcMar>
              <w:top w:w="80" w:type="dxa"/>
              <w:bottom w:w="80" w:type="dxa"/>
              <w:left w:w="100" w:type="dxa"/>
              <w:right w:w="100" w:type="dxa"/>
            </w:tcMar>
          </w:tcPr>
          <w:p>
            <w:r>
              <w:rPr>
                <w:sz w:val="18"/>
              </w:rPr>
              <w:t>Paper Fragebogen 4 (Do Khac et al., 2025, Abschn. 4.1); Datensatz_v1 (Questionnaire 4, Item T4)</w:t>
            </w:r>
          </w:p>
        </w:tc>
        <w:tc>
          <w:tcPr>
            <w:tcW w:type="dxa" w:w="3456"/>
            <w:shd w:fill="FFFFFF" w:val="clear"/>
            <w:tcMar>
              <w:top w:w="80" w:type="dxa"/>
              <w:bottom w:w="80" w:type="dxa"/>
              <w:left w:w="100" w:type="dxa"/>
              <w:right w:w="100" w:type="dxa"/>
            </w:tcMar>
          </w:tcPr>
          <w:p>
            <w:r>
              <w:rPr>
                <w:sz w:val="18"/>
              </w:rPr>
              <w:t>„Ich vertraue den Antworten von ChatGPT.“ / „I trust the answers from ChatGPT.“</w:t>
            </w:r>
          </w:p>
        </w:tc>
        <w:tc>
          <w:tcPr>
            <w:tcW w:type="dxa" w:w="1584"/>
            <w:shd w:fill="FFFFFF" w:val="clear"/>
            <w:tcMar>
              <w:top w:w="80" w:type="dxa"/>
              <w:bottom w:w="80" w:type="dxa"/>
              <w:left w:w="100" w:type="dxa"/>
              <w:right w:w="100" w:type="dxa"/>
            </w:tcMar>
          </w:tcPr>
          <w:p>
            <w:r>
              <w:rPr>
                <w:sz w:val="18"/>
              </w:rPr>
              <w:t>Stärker angepasst</w:t>
            </w:r>
          </w:p>
        </w:tc>
        <w:tc>
          <w:tcPr>
            <w:tcW w:type="dxa" w:w="4320"/>
            <w:shd w:fill="FFFFFF" w:val="clear"/>
            <w:tcMar>
              <w:top w:w="80" w:type="dxa"/>
              <w:bottom w:w="80" w:type="dxa"/>
              <w:left w:w="100" w:type="dxa"/>
              <w:right w:w="100" w:type="dxa"/>
            </w:tcMar>
          </w:tcPr>
          <w:p>
            <w:r>
              <w:rPr>
                <w:sz w:val="18"/>
              </w:rPr>
              <w:t>Verallgemeinerung des Werkzeugs von ChatGPT auf generative KI und Erweiterung von „Antworten“ auf „Ergebnisse“.</w:t>
            </w:r>
          </w:p>
        </w:tc>
      </w:tr>
      <w:tr>
        <w:trPr>
          <w:cantSplit/>
        </w:trPr>
        <w:tc>
          <w:tcPr>
            <w:tcW w:type="dxa" w:w="864"/>
            <w:shd w:fill="FAFAFA" w:val="clear"/>
            <w:tcMar>
              <w:top w:w="80" w:type="dxa"/>
              <w:bottom w:w="80" w:type="dxa"/>
              <w:left w:w="100" w:type="dxa"/>
              <w:right w:w="100" w:type="dxa"/>
            </w:tcMar>
          </w:tcPr>
          <w:p>
            <w:r>
              <w:rPr>
                <w:b/>
                <w:sz w:val="18"/>
              </w:rPr>
              <w:t>V3</w:t>
            </w:r>
          </w:p>
        </w:tc>
        <w:tc>
          <w:tcPr>
            <w:tcW w:type="dxa" w:w="1872"/>
            <w:shd w:fill="FAFAFA" w:val="clear"/>
            <w:tcMar>
              <w:top w:w="80" w:type="dxa"/>
              <w:bottom w:w="80" w:type="dxa"/>
              <w:left w:w="100" w:type="dxa"/>
              <w:right w:w="100" w:type="dxa"/>
            </w:tcMar>
          </w:tcPr>
          <w:p>
            <w:r>
              <w:rPr>
                <w:sz w:val="18"/>
              </w:rPr>
              <w:t>Vertrauen</w:t>
            </w:r>
          </w:p>
        </w:tc>
        <w:tc>
          <w:tcPr>
            <w:tcW w:type="dxa" w:w="2304"/>
            <w:shd w:fill="FAFAFA" w:val="clear"/>
            <w:tcMar>
              <w:top w:w="80" w:type="dxa"/>
              <w:bottom w:w="80" w:type="dxa"/>
              <w:left w:w="100" w:type="dxa"/>
              <w:right w:w="100" w:type="dxa"/>
            </w:tcMar>
          </w:tcPr>
          <w:p>
            <w:r>
              <w:rPr>
                <w:sz w:val="18"/>
              </w:rPr>
              <w:t>Mayer et al. (1995) in Do Khac et al. (2025, Abschn. 2.3); Leyer &amp; Schneider (2021)</w:t>
            </w:r>
          </w:p>
        </w:tc>
        <w:tc>
          <w:tcPr>
            <w:tcW w:type="dxa" w:w="3456"/>
            <w:shd w:fill="FAFAFA" w:val="clear"/>
            <w:tcMar>
              <w:top w:w="80" w:type="dxa"/>
              <w:bottom w:w="80" w:type="dxa"/>
              <w:left w:w="100" w:type="dxa"/>
              <w:right w:w="100" w:type="dxa"/>
            </w:tcMar>
          </w:tcPr>
          <w:p>
            <w:r>
              <w:rPr>
                <w:sz w:val="18"/>
              </w:rPr>
              <w:t>„willingness of a party to be vulnerable to the actions of another party“ / Augmentation</w:t>
            </w:r>
          </w:p>
        </w:tc>
        <w:tc>
          <w:tcPr>
            <w:tcW w:type="dxa" w:w="1584"/>
            <w:shd w:fill="FAFAFA" w:val="clear"/>
            <w:tcMar>
              <w:top w:w="80" w:type="dxa"/>
              <w:bottom w:w="80" w:type="dxa"/>
              <w:left w:w="100" w:type="dxa"/>
              <w:right w:w="100" w:type="dxa"/>
            </w:tcMar>
          </w:tcPr>
          <w:p>
            <w:r>
              <w:rPr>
                <w:sz w:val="18"/>
              </w:rPr>
              <w:t>Selbst entwickelt</w:t>
            </w:r>
          </w:p>
        </w:tc>
        <w:tc>
          <w:tcPr>
            <w:tcW w:type="dxa" w:w="4320"/>
            <w:shd w:fill="FAFAFA" w:val="clear"/>
            <w:tcMar>
              <w:top w:w="80" w:type="dxa"/>
              <w:bottom w:w="80" w:type="dxa"/>
              <w:left w:w="100" w:type="dxa"/>
              <w:right w:w="100" w:type="dxa"/>
            </w:tcMar>
          </w:tcPr>
          <w:p>
            <w:r>
              <w:rPr>
                <w:sz w:val="18"/>
              </w:rPr>
              <w:t>Konstruktion zur Erfassung von Zuarbeitsbereitschaft (Augmentation) ohne Verzicht auf menschliche Kontrolle.</w:t>
            </w:r>
          </w:p>
        </w:tc>
      </w:tr>
      <w:tr>
        <w:trPr>
          <w:cantSplit/>
        </w:trPr>
        <w:tc>
          <w:tcPr>
            <w:tcW w:type="dxa" w:w="864"/>
            <w:shd w:fill="FFFFFF" w:val="clear"/>
            <w:tcMar>
              <w:top w:w="80" w:type="dxa"/>
              <w:bottom w:w="80" w:type="dxa"/>
              <w:left w:w="100" w:type="dxa"/>
              <w:right w:w="100" w:type="dxa"/>
            </w:tcMar>
          </w:tcPr>
          <w:p>
            <w:r>
              <w:rPr>
                <w:b/>
                <w:sz w:val="18"/>
              </w:rPr>
              <w:t>E1</w:t>
            </w:r>
          </w:p>
        </w:tc>
        <w:tc>
          <w:tcPr>
            <w:tcW w:type="dxa" w:w="1872"/>
            <w:shd w:fill="FFFFFF" w:val="clear"/>
            <w:tcMar>
              <w:top w:w="80" w:type="dxa"/>
              <w:bottom w:w="80" w:type="dxa"/>
              <w:left w:w="100" w:type="dxa"/>
              <w:right w:w="100" w:type="dxa"/>
            </w:tcMar>
          </w:tcPr>
          <w:p>
            <w:r>
              <w:rPr>
                <w:sz w:val="18"/>
              </w:rPr>
              <w:t>Ethische Beurteilungsfähigkeit</w:t>
            </w:r>
          </w:p>
        </w:tc>
        <w:tc>
          <w:tcPr>
            <w:tcW w:type="dxa" w:w="2304"/>
            <w:shd w:fill="FFFFFF" w:val="clear"/>
            <w:tcMar>
              <w:top w:w="80" w:type="dxa"/>
              <w:bottom w:w="80" w:type="dxa"/>
              <w:left w:w="100" w:type="dxa"/>
              <w:right w:w="100" w:type="dxa"/>
            </w:tcMar>
          </w:tcPr>
          <w:p>
            <w:r>
              <w:rPr>
                <w:sz w:val="18"/>
              </w:rPr>
              <w:t>Carolus et al. (2023, Anhang A)</w:t>
            </w:r>
          </w:p>
        </w:tc>
        <w:tc>
          <w:tcPr>
            <w:tcW w:type="dxa" w:w="3456"/>
            <w:shd w:fill="FFFFFF" w:val="clear"/>
            <w:tcMar>
              <w:top w:w="80" w:type="dxa"/>
              <w:bottom w:w="80" w:type="dxa"/>
              <w:left w:w="100" w:type="dxa"/>
              <w:right w:w="100" w:type="dxa"/>
            </w:tcMar>
          </w:tcPr>
          <w:p>
            <w:r>
              <w:rPr>
                <w:sz w:val="18"/>
              </w:rPr>
              <w:t>„I can weigh the consequences of using AI for society.“ (MAILS, AI Ethics, Item 16)</w:t>
            </w:r>
          </w:p>
        </w:tc>
        <w:tc>
          <w:tcPr>
            <w:tcW w:type="dxa" w:w="1584"/>
            <w:shd w:fill="FFFFFF" w:val="clear"/>
            <w:tcMar>
              <w:top w:w="80" w:type="dxa"/>
              <w:bottom w:w="80" w:type="dxa"/>
              <w:left w:w="100" w:type="dxa"/>
              <w:right w:w="100" w:type="dxa"/>
            </w:tcMar>
          </w:tcPr>
          <w:p>
            <w:r>
              <w:rPr>
                <w:sz w:val="18"/>
              </w:rPr>
              <w:t>Stärker angepasst</w:t>
            </w:r>
          </w:p>
        </w:tc>
        <w:tc>
          <w:tcPr>
            <w:tcW w:type="dxa" w:w="4320"/>
            <w:shd w:fill="FFFFFF" w:val="clear"/>
            <w:tcMar>
              <w:top w:w="80" w:type="dxa"/>
              <w:bottom w:w="80" w:type="dxa"/>
              <w:left w:w="100" w:type="dxa"/>
              <w:right w:w="100" w:type="dxa"/>
            </w:tcMar>
          </w:tcPr>
          <w:p>
            <w:r>
              <w:rPr>
                <w:sz w:val="18"/>
              </w:rPr>
              <w:t>Herunterskalierung gesamtgesellschaftlicher Folgen auf konkrete Auswirkungen auf andere Personen im Unternehmen.</w:t>
            </w:r>
          </w:p>
        </w:tc>
      </w:tr>
      <w:tr>
        <w:trPr>
          <w:cantSplit/>
        </w:trPr>
        <w:tc>
          <w:tcPr>
            <w:tcW w:type="dxa" w:w="864"/>
            <w:shd w:fill="FAFAFA" w:val="clear"/>
            <w:tcMar>
              <w:top w:w="80" w:type="dxa"/>
              <w:bottom w:w="80" w:type="dxa"/>
              <w:left w:w="100" w:type="dxa"/>
              <w:right w:w="100" w:type="dxa"/>
            </w:tcMar>
          </w:tcPr>
          <w:p>
            <w:r>
              <w:rPr>
                <w:b/>
                <w:sz w:val="18"/>
              </w:rPr>
              <w:t>E2</w:t>
            </w:r>
          </w:p>
        </w:tc>
        <w:tc>
          <w:tcPr>
            <w:tcW w:type="dxa" w:w="1872"/>
            <w:shd w:fill="FAFAFA" w:val="clear"/>
            <w:tcMar>
              <w:top w:w="80" w:type="dxa"/>
              <w:bottom w:w="80" w:type="dxa"/>
              <w:left w:w="100" w:type="dxa"/>
              <w:right w:w="100" w:type="dxa"/>
            </w:tcMar>
          </w:tcPr>
          <w:p>
            <w:r>
              <w:rPr>
                <w:sz w:val="18"/>
              </w:rPr>
              <w:t>Ethische Beurteilungsfähigkeit</w:t>
            </w:r>
          </w:p>
        </w:tc>
        <w:tc>
          <w:tcPr>
            <w:tcW w:type="dxa" w:w="2304"/>
            <w:shd w:fill="FAFAFA" w:val="clear"/>
            <w:tcMar>
              <w:top w:w="80" w:type="dxa"/>
              <w:bottom w:w="80" w:type="dxa"/>
              <w:left w:w="100" w:type="dxa"/>
              <w:right w:w="100" w:type="dxa"/>
            </w:tcMar>
          </w:tcPr>
          <w:p>
            <w:r>
              <w:rPr>
                <w:sz w:val="18"/>
              </w:rPr>
              <w:t>Carolus et al. (2023, Anhang A)</w:t>
            </w:r>
          </w:p>
        </w:tc>
        <w:tc>
          <w:tcPr>
            <w:tcW w:type="dxa" w:w="3456"/>
            <w:shd w:fill="FAFAFA" w:val="clear"/>
            <w:tcMar>
              <w:top w:w="80" w:type="dxa"/>
              <w:bottom w:w="80" w:type="dxa"/>
              <w:left w:w="100" w:type="dxa"/>
              <w:right w:w="100" w:type="dxa"/>
            </w:tcMar>
          </w:tcPr>
          <w:p>
            <w:r>
              <w:rPr>
                <w:sz w:val="18"/>
              </w:rPr>
              <w:t>„I can analyze AI-based applications for their ethical implications.“ (MAILS, AI Ethics, Item 18)</w:t>
            </w:r>
          </w:p>
        </w:tc>
        <w:tc>
          <w:tcPr>
            <w:tcW w:type="dxa" w:w="1584"/>
            <w:shd w:fill="FAFAFA" w:val="clear"/>
            <w:tcMar>
              <w:top w:w="80" w:type="dxa"/>
              <w:bottom w:w="80" w:type="dxa"/>
              <w:left w:w="100" w:type="dxa"/>
              <w:right w:w="100" w:type="dxa"/>
            </w:tcMar>
          </w:tcPr>
          <w:p>
            <w:r>
              <w:rPr>
                <w:sz w:val="18"/>
              </w:rPr>
              <w:t>Stärker angepasst</w:t>
            </w:r>
          </w:p>
        </w:tc>
        <w:tc>
          <w:tcPr>
            <w:tcW w:type="dxa" w:w="4320"/>
            <w:shd w:fill="FAFAFA" w:val="clear"/>
            <w:tcMar>
              <w:top w:w="80" w:type="dxa"/>
              <w:bottom w:w="80" w:type="dxa"/>
              <w:left w:w="100" w:type="dxa"/>
              <w:right w:w="100" w:type="dxa"/>
            </w:tcMar>
          </w:tcPr>
          <w:p>
            <w:r>
              <w:rPr>
                <w:sz w:val="18"/>
              </w:rPr>
              <w:t>Formulierung als persönliche Beurteilungsfähigkeit („Ich kann beurteilen ...“) bezogen auf generierte Inhalte.</w:t>
            </w:r>
          </w:p>
        </w:tc>
      </w:tr>
      <w:tr>
        <w:trPr>
          <w:cantSplit/>
        </w:trPr>
        <w:tc>
          <w:tcPr>
            <w:tcW w:type="dxa" w:w="864"/>
            <w:shd w:fill="FFFFFF" w:val="clear"/>
            <w:tcMar>
              <w:top w:w="80" w:type="dxa"/>
              <w:bottom w:w="80" w:type="dxa"/>
              <w:left w:w="100" w:type="dxa"/>
              <w:right w:w="100" w:type="dxa"/>
            </w:tcMar>
          </w:tcPr>
          <w:p>
            <w:r>
              <w:rPr>
                <w:b/>
                <w:sz w:val="18"/>
              </w:rPr>
              <w:t>E3</w:t>
            </w:r>
          </w:p>
        </w:tc>
        <w:tc>
          <w:tcPr>
            <w:tcW w:type="dxa" w:w="1872"/>
            <w:shd w:fill="FFFFFF" w:val="clear"/>
            <w:tcMar>
              <w:top w:w="80" w:type="dxa"/>
              <w:bottom w:w="80" w:type="dxa"/>
              <w:left w:w="100" w:type="dxa"/>
              <w:right w:w="100" w:type="dxa"/>
            </w:tcMar>
          </w:tcPr>
          <w:p>
            <w:r>
              <w:rPr>
                <w:sz w:val="18"/>
              </w:rPr>
              <w:t>Ethische Beurteilungsfähigkeit</w:t>
            </w:r>
          </w:p>
        </w:tc>
        <w:tc>
          <w:tcPr>
            <w:tcW w:type="dxa" w:w="2304"/>
            <w:shd w:fill="FFFFFF" w:val="clear"/>
            <w:tcMar>
              <w:top w:w="80" w:type="dxa"/>
              <w:bottom w:w="80" w:type="dxa"/>
              <w:left w:w="100" w:type="dxa"/>
              <w:right w:w="100" w:type="dxa"/>
            </w:tcMar>
          </w:tcPr>
          <w:p>
            <w:r>
              <w:rPr>
                <w:sz w:val="18"/>
              </w:rPr>
              <w:t>Jöhnk et al. (2021, Tab. 1); Do Khac et al. (2025, Abschn. 2.3)</w:t>
            </w:r>
          </w:p>
        </w:tc>
        <w:tc>
          <w:tcPr>
            <w:tcW w:type="dxa" w:w="3456"/>
            <w:shd w:fill="FFFFFF" w:val="clear"/>
            <w:tcMar>
              <w:top w:w="80" w:type="dxa"/>
              <w:bottom w:w="80" w:type="dxa"/>
              <w:left w:w="100" w:type="dxa"/>
              <w:right w:w="100" w:type="dxa"/>
            </w:tcMar>
          </w:tcPr>
          <w:p>
            <w:r>
              <w:rPr>
                <w:sz w:val="18"/>
              </w:rPr>
              <w:t>„AI ethics comprise measures to prevent bias […] in AI outcomes“ / Unfair Bias</w:t>
            </w:r>
          </w:p>
        </w:tc>
        <w:tc>
          <w:tcPr>
            <w:tcW w:type="dxa" w:w="1584"/>
            <w:shd w:fill="FFFFFF" w:val="clear"/>
            <w:tcMar>
              <w:top w:w="80" w:type="dxa"/>
              <w:bottom w:w="80" w:type="dxa"/>
              <w:left w:w="100" w:type="dxa"/>
              <w:right w:w="100" w:type="dxa"/>
            </w:tcMar>
          </w:tcPr>
          <w:p>
            <w:r>
              <w:rPr>
                <w:sz w:val="18"/>
              </w:rPr>
              <w:t>Selbst entwickelt</w:t>
            </w:r>
          </w:p>
        </w:tc>
        <w:tc>
          <w:tcPr>
            <w:tcW w:type="dxa" w:w="4320"/>
            <w:shd w:fill="FFFFFF" w:val="clear"/>
            <w:tcMar>
              <w:top w:w="80" w:type="dxa"/>
              <w:bottom w:w="80" w:type="dxa"/>
              <w:left w:w="100" w:type="dxa"/>
              <w:right w:w="100" w:type="dxa"/>
            </w:tcMar>
          </w:tcPr>
          <w:p>
            <w:r>
              <w:rPr>
                <w:sz w:val="18"/>
              </w:rPr>
              <w:t>Operationalisierung als Selbsteinschätzung zur Erkennung von Vorurteilen in generierten Texten.</w:t>
            </w:r>
          </w:p>
        </w:tc>
      </w:tr>
      <w:tr>
        <w:trPr>
          <w:cantSplit/>
        </w:trPr>
        <w:tc>
          <w:tcPr>
            <w:tcW w:type="dxa" w:w="864"/>
            <w:shd w:fill="FAFAFA" w:val="clear"/>
            <w:tcMar>
              <w:top w:w="80" w:type="dxa"/>
              <w:bottom w:w="80" w:type="dxa"/>
              <w:left w:w="100" w:type="dxa"/>
              <w:right w:w="100" w:type="dxa"/>
            </w:tcMar>
          </w:tcPr>
          <w:p>
            <w:r>
              <w:rPr>
                <w:b/>
                <w:sz w:val="18"/>
              </w:rPr>
              <w:t>N1</w:t>
            </w:r>
          </w:p>
        </w:tc>
        <w:tc>
          <w:tcPr>
            <w:tcW w:type="dxa" w:w="1872"/>
            <w:shd w:fill="FAFAFA" w:val="clear"/>
            <w:tcMar>
              <w:top w:w="80" w:type="dxa"/>
              <w:bottom w:w="80" w:type="dxa"/>
              <w:left w:w="100" w:type="dxa"/>
              <w:right w:w="100" w:type="dxa"/>
            </w:tcMar>
          </w:tcPr>
          <w:p>
            <w:r>
              <w:rPr>
                <w:sz w:val="18"/>
              </w:rPr>
              <w:t>Nutzungsabsicht</w:t>
            </w:r>
          </w:p>
        </w:tc>
        <w:tc>
          <w:tcPr>
            <w:tcW w:type="dxa" w:w="2304"/>
            <w:shd w:fill="FAFAFA" w:val="clear"/>
            <w:tcMar>
              <w:top w:w="80" w:type="dxa"/>
              <w:bottom w:w="80" w:type="dxa"/>
              <w:left w:w="100" w:type="dxa"/>
              <w:right w:w="100" w:type="dxa"/>
            </w:tcMar>
          </w:tcPr>
          <w:p>
            <w:r>
              <w:rPr>
                <w:sz w:val="18"/>
              </w:rPr>
              <w:t>Datensatz_v1 (Questionnaire 3, Abschn. 4); Paper Fragebogen 3 (Abschn. 3.1)</w:t>
            </w:r>
          </w:p>
        </w:tc>
        <w:tc>
          <w:tcPr>
            <w:tcW w:type="dxa" w:w="3456"/>
            <w:shd w:fill="FAFAFA" w:val="clear"/>
            <w:tcMar>
              <w:top w:w="80" w:type="dxa"/>
              <w:bottom w:w="80" w:type="dxa"/>
              <w:left w:w="100" w:type="dxa"/>
              <w:right w:w="100" w:type="dxa"/>
            </w:tcMar>
          </w:tcPr>
          <w:p>
            <w:r>
              <w:rPr>
                <w:sz w:val="18"/>
              </w:rPr>
              <w:t>„Ich beabsichtige, Virtual Reality künftig für meine Aufgaben einzusetzen.“ (BI, Item 1)</w:t>
            </w:r>
          </w:p>
        </w:tc>
        <w:tc>
          <w:tcPr>
            <w:tcW w:type="dxa" w:w="1584"/>
            <w:shd w:fill="FAFAFA" w:val="clear"/>
            <w:tcMar>
              <w:top w:w="80" w:type="dxa"/>
              <w:bottom w:w="80" w:type="dxa"/>
              <w:left w:w="100" w:type="dxa"/>
              <w:right w:w="100" w:type="dxa"/>
            </w:tcMar>
          </w:tcPr>
          <w:p>
            <w:r>
              <w:rPr>
                <w:sz w:val="18"/>
              </w:rPr>
              <w:t>Eng übernommen</w:t>
            </w:r>
          </w:p>
        </w:tc>
        <w:tc>
          <w:tcPr>
            <w:tcW w:type="dxa" w:w="4320"/>
            <w:shd w:fill="FAFAFA" w:val="clear"/>
            <w:tcMar>
              <w:top w:w="80" w:type="dxa"/>
              <w:bottom w:w="80" w:type="dxa"/>
              <w:left w:w="100" w:type="dxa"/>
              <w:right w:w="100" w:type="dxa"/>
            </w:tcMar>
          </w:tcPr>
          <w:p>
            <w:r>
              <w:rPr>
                <w:sz w:val="18"/>
              </w:rPr>
              <w:t>Technologieaustausch von Virtual Reality zu generativer KI; Übernahme der Standardformulierung.</w:t>
            </w:r>
          </w:p>
        </w:tc>
      </w:tr>
      <w:tr>
        <w:trPr>
          <w:cantSplit/>
        </w:trPr>
        <w:tc>
          <w:tcPr>
            <w:tcW w:type="dxa" w:w="864"/>
            <w:shd w:fill="FFFFFF" w:val="clear"/>
            <w:tcMar>
              <w:top w:w="80" w:type="dxa"/>
              <w:bottom w:w="80" w:type="dxa"/>
              <w:left w:w="100" w:type="dxa"/>
              <w:right w:w="100" w:type="dxa"/>
            </w:tcMar>
          </w:tcPr>
          <w:p>
            <w:r>
              <w:rPr>
                <w:b/>
                <w:sz w:val="18"/>
              </w:rPr>
              <w:t>N2</w:t>
            </w:r>
          </w:p>
        </w:tc>
        <w:tc>
          <w:tcPr>
            <w:tcW w:type="dxa" w:w="1872"/>
            <w:shd w:fill="FFFFFF" w:val="clear"/>
            <w:tcMar>
              <w:top w:w="80" w:type="dxa"/>
              <w:bottom w:w="80" w:type="dxa"/>
              <w:left w:w="100" w:type="dxa"/>
              <w:right w:w="100" w:type="dxa"/>
            </w:tcMar>
          </w:tcPr>
          <w:p>
            <w:r>
              <w:rPr>
                <w:sz w:val="18"/>
              </w:rPr>
              <w:t>Nutzungsabsicht</w:t>
            </w:r>
          </w:p>
        </w:tc>
        <w:tc>
          <w:tcPr>
            <w:tcW w:type="dxa" w:w="2304"/>
            <w:shd w:fill="FFFFFF" w:val="clear"/>
            <w:tcMar>
              <w:top w:w="80" w:type="dxa"/>
              <w:bottom w:w="80" w:type="dxa"/>
              <w:left w:w="100" w:type="dxa"/>
              <w:right w:w="100" w:type="dxa"/>
            </w:tcMar>
          </w:tcPr>
          <w:p>
            <w:r>
              <w:rPr>
                <w:sz w:val="18"/>
              </w:rPr>
              <w:t>Datensatz_v1 (Questionnaire 3, Abschn. 4); Paper Fragebogen 3 (Abschn. 3.1)</w:t>
            </w:r>
          </w:p>
        </w:tc>
        <w:tc>
          <w:tcPr>
            <w:tcW w:type="dxa" w:w="3456"/>
            <w:shd w:fill="FFFFFF" w:val="clear"/>
            <w:tcMar>
              <w:top w:w="80" w:type="dxa"/>
              <w:bottom w:w="80" w:type="dxa"/>
              <w:left w:w="100" w:type="dxa"/>
              <w:right w:w="100" w:type="dxa"/>
            </w:tcMar>
          </w:tcPr>
          <w:p>
            <w:r>
              <w:rPr>
                <w:sz w:val="18"/>
              </w:rPr>
              <w:t>„Ich plane, Virtual Reality für meine Aufgaben zu nutzen.“ (BI, Item 2)</w:t>
            </w:r>
          </w:p>
        </w:tc>
        <w:tc>
          <w:tcPr>
            <w:tcW w:type="dxa" w:w="1584"/>
            <w:shd w:fill="FFFFFF" w:val="clear"/>
            <w:tcMar>
              <w:top w:w="80" w:type="dxa"/>
              <w:bottom w:w="80" w:type="dxa"/>
              <w:left w:w="100" w:type="dxa"/>
              <w:right w:w="100" w:type="dxa"/>
            </w:tcMar>
          </w:tcPr>
          <w:p>
            <w:r>
              <w:rPr>
                <w:sz w:val="18"/>
              </w:rPr>
              <w:t>Eng übernommen</w:t>
            </w:r>
          </w:p>
        </w:tc>
        <w:tc>
          <w:tcPr>
            <w:tcW w:type="dxa" w:w="4320"/>
            <w:shd w:fill="FFFFFF" w:val="clear"/>
            <w:tcMar>
              <w:top w:w="80" w:type="dxa"/>
              <w:bottom w:w="80" w:type="dxa"/>
              <w:left w:w="100" w:type="dxa"/>
              <w:right w:w="100" w:type="dxa"/>
            </w:tcMar>
          </w:tcPr>
          <w:p>
            <w:r>
              <w:rPr>
                <w:sz w:val="18"/>
              </w:rPr>
              <w:t>Technologieaustausch von Virtual Reality zu generativer KI; Erfassung der Handlungsplanung.</w:t>
            </w:r>
          </w:p>
        </w:tc>
      </w:tr>
      <w:tr>
        <w:trPr>
          <w:cantSplit/>
        </w:trPr>
        <w:tc>
          <w:tcPr>
            <w:tcW w:type="dxa" w:w="864"/>
            <w:shd w:fill="FAFAFA" w:val="clear"/>
            <w:tcMar>
              <w:top w:w="80" w:type="dxa"/>
              <w:bottom w:w="80" w:type="dxa"/>
              <w:left w:w="100" w:type="dxa"/>
              <w:right w:w="100" w:type="dxa"/>
            </w:tcMar>
          </w:tcPr>
          <w:p>
            <w:r>
              <w:rPr>
                <w:b/>
                <w:sz w:val="18"/>
              </w:rPr>
              <w:t>N3</w:t>
            </w:r>
          </w:p>
        </w:tc>
        <w:tc>
          <w:tcPr>
            <w:tcW w:type="dxa" w:w="1872"/>
            <w:shd w:fill="FAFAFA" w:val="clear"/>
            <w:tcMar>
              <w:top w:w="80" w:type="dxa"/>
              <w:bottom w:w="80" w:type="dxa"/>
              <w:left w:w="100" w:type="dxa"/>
              <w:right w:w="100" w:type="dxa"/>
            </w:tcMar>
          </w:tcPr>
          <w:p>
            <w:r>
              <w:rPr>
                <w:sz w:val="18"/>
              </w:rPr>
              <w:t>Nutzungsabsicht</w:t>
            </w:r>
          </w:p>
        </w:tc>
        <w:tc>
          <w:tcPr>
            <w:tcW w:type="dxa" w:w="2304"/>
            <w:shd w:fill="FAFAFA" w:val="clear"/>
            <w:tcMar>
              <w:top w:w="80" w:type="dxa"/>
              <w:bottom w:w="80" w:type="dxa"/>
              <w:left w:w="100" w:type="dxa"/>
              <w:right w:w="100" w:type="dxa"/>
            </w:tcMar>
          </w:tcPr>
          <w:p>
            <w:r>
              <w:rPr>
                <w:sz w:val="18"/>
              </w:rPr>
              <w:t>Datensatz_v1 (Questionnaire 3, Abschn. 4); Paper Fragebogen 3 (Abschn. 3.1)</w:t>
            </w:r>
          </w:p>
        </w:tc>
        <w:tc>
          <w:tcPr>
            <w:tcW w:type="dxa" w:w="3456"/>
            <w:shd w:fill="FAFAFA" w:val="clear"/>
            <w:tcMar>
              <w:top w:w="80" w:type="dxa"/>
              <w:bottom w:w="80" w:type="dxa"/>
              <w:left w:w="100" w:type="dxa"/>
              <w:right w:w="100" w:type="dxa"/>
            </w:tcMar>
          </w:tcPr>
          <w:p>
            <w:r>
              <w:rPr>
                <w:sz w:val="18"/>
              </w:rPr>
              <w:t>„Wenn Virtual Reality verfügbar wäre, würde ich sie für meine Aufgaben einsetzen.“ (BI, Item 3)</w:t>
            </w:r>
          </w:p>
        </w:tc>
        <w:tc>
          <w:tcPr>
            <w:tcW w:type="dxa" w:w="1584"/>
            <w:shd w:fill="FAFAFA" w:val="clear"/>
            <w:tcMar>
              <w:top w:w="80" w:type="dxa"/>
              <w:bottom w:w="80" w:type="dxa"/>
              <w:left w:w="100" w:type="dxa"/>
              <w:right w:w="100" w:type="dxa"/>
            </w:tcMar>
          </w:tcPr>
          <w:p>
            <w:r>
              <w:rPr>
                <w:sz w:val="18"/>
              </w:rPr>
              <w:t>Eng übernommen</w:t>
            </w:r>
          </w:p>
        </w:tc>
        <w:tc>
          <w:tcPr>
            <w:tcW w:type="dxa" w:w="4320"/>
            <w:shd w:fill="FAFAFA" w:val="clear"/>
            <w:tcMar>
              <w:top w:w="80" w:type="dxa"/>
              <w:bottom w:w="80" w:type="dxa"/>
              <w:left w:w="100" w:type="dxa"/>
              <w:right w:w="100" w:type="dxa"/>
            </w:tcMar>
          </w:tcPr>
          <w:p>
            <w:r>
              <w:rPr>
                <w:sz w:val="18"/>
              </w:rPr>
              <w:t>Technologieaustausch und Präzisierung der Verfügbarkeitsbedingung auf den eigenen Arbeitsplatz.</w:t>
            </w:r>
          </w:p>
        </w:tc>
      </w:tr>
    </w:tbl>
    <w:p>
      <w:pPr>
        <w:sectPr>
          <w:pgSz w:w="15840" w:h="12240" w:orient="landscape"/>
          <w:pgMar w:top="720" w:right="720" w:bottom="720" w:left="720" w:header="720" w:footer="720" w:gutter="0"/>
          <w:cols w:space="720"/>
          <w:docGrid w:linePitch="360"/>
        </w:sectPr>
      </w:pPr>
    </w:p>
    <w:p>
      <w:pPr>
        <w:keepNext/>
        <w:spacing w:before="240" w:after="80"/>
      </w:pPr>
      <w:r>
        <w:rPr>
          <w:b/>
          <w:color w:val="1F4E79"/>
          <w:sz w:val="26"/>
        </w:rPr>
        <w:t>3. Skalendokumentation der verwendeten Vorlagen</w:t>
      </w:r>
    </w:p>
    <w:p>
      <w:pPr>
        <w:spacing w:before="120" w:after="80"/>
      </w:pPr>
      <w:r>
        <w:rPr>
          <w:b/>
          <w:color w:val="1F4E79"/>
        </w:rPr>
        <w:t>Carolus et al. (2023) – MAILS:</w:t>
      </w:r>
    </w:p>
    <w:p>
      <w:r>
        <w:t>Originalformat: 11-stufige Skala von 0 („kaum oder gar nicht ausgeprägt“) bis 10 („sehr gut oder nahezu vollkommen ausgeprägt“) zur direkten Merkmalseinstufung.</w:t>
        <w:br/>
        <w:t>Vorgenommene Änderung: Wechsel von der 11-stufigen Merkmalsgraduierung zu einer 5-stufigen Zustimmungs-Likert-Skala (1 bis 5). Der Fähigkeitsaspekt wird dabei direkt im Itemstamm („Ich kann ...“) sprachlich verankert.</w:t>
      </w:r>
    </w:p>
    <w:p>
      <w:pPr>
        <w:spacing w:before="120" w:after="80"/>
      </w:pPr>
      <w:r>
        <w:rPr>
          <w:b/>
          <w:color w:val="1F4E79"/>
        </w:rPr>
        <w:t>Datensatz_v1 (Questionnaire 2 / PowerPilot):</w:t>
      </w:r>
    </w:p>
    <w:p>
      <w:r>
        <w:t>Originalformat: 7-stufige Likert-Skala von „strongly disagree“ bis „totally agree“.</w:t>
        <w:br/>
        <w:t>Vorgenommene Änderung: Reduktion von 7 Stufen auf 5 Stufen zur Anpassung an das einheitliche Format.</w:t>
      </w:r>
    </w:p>
    <w:p>
      <w:pPr>
        <w:spacing w:before="120" w:after="80"/>
      </w:pPr>
      <w:r>
        <w:rPr>
          <w:b/>
          <w:color w:val="1F4E79"/>
        </w:rPr>
        <w:t>Datensatz_v1 (Questionnaire 3 / VR) &amp; Paper Fragebogen 3:</w:t>
      </w:r>
    </w:p>
    <w:p>
      <w:r>
        <w:t>Originalformat: 5-stufige Likert-Skala von 1 („strongly disagree“) bis 5 („strongly agree“).</w:t>
        <w:br/>
        <w:t>Vorgenommene Änderung: Übernahme der 5 Stufen unter Zuordnung der standardisierten deutschen Zustimmungsanker.</w:t>
      </w:r>
    </w:p>
    <w:p>
      <w:pPr>
        <w:spacing w:before="120" w:after="80"/>
      </w:pPr>
      <w:r>
        <w:rPr>
          <w:b/>
          <w:color w:val="1F4E79"/>
        </w:rPr>
        <w:t>Paper Fragebogen 4 (Do Khac et al., 2025) &amp; Datensatz_v1 (Questionnaire 4):</w:t>
      </w:r>
    </w:p>
    <w:p>
      <w:r>
        <w:t>Originalformat: In den vorliegenden Berichten und Tabellen sind die Itemformulierungen dokumentiert, das genaue Format der Antwortkategorien und die ursprüngliche Stufenanzahl sind jedoch nicht eindeutig belegt. Es wird daher ausdrücklich nicht behauptet, dass die Originalskala fünf Stufen umfasste.</w:t>
        <w:br/>
        <w:t>Vorgenommene Änderung: Überführung der übernommenen Items in die standardisierte 5-stufige Skala.</w:t>
      </w:r>
    </w:p>
    <w:p>
      <w:pPr>
        <w:spacing w:before="120" w:after="80"/>
      </w:pPr>
      <w:r>
        <w:rPr>
          <w:b/>
          <w:color w:val="1F4E79"/>
        </w:rPr>
        <w:t>Begründung des einheitlichen Antwortformats:</w:t>
      </w:r>
    </w:p>
    <w:p>
      <w:r>
        <w:t>Die Entscheidung für eine durchgehende 5-stufige Antwortskala mit der Zusatzoption „kann ich nicht beurteilen“ ist eine methodische Gestaltungsentscheidung zur formalen Vereinheitlichung des Instruments. Da für diesen Entwurf keine vergleichenden Erhebungsdaten vorliegen, werden hierzu ausdrücklich keine unbelegten Wirkungsbehauptungen aufgestellt (weder hinsichtlich einer verminderten kognitiven Belastung, noch bezüglich geringerer Abbruchquoten oder einer höheren Messqualität).</w:t>
      </w:r>
    </w:p>
    <w:p>
      <w:pPr>
        <w:keepNext/>
        <w:spacing w:before="240" w:after="80"/>
      </w:pPr>
      <w:r>
        <w:rPr>
          <w:b/>
          <w:color w:val="1F4E79"/>
          <w:sz w:val="26"/>
        </w:rPr>
        <w:t>4. Kritischer Qualitätscheck und verbleibende Grenzen</w:t>
      </w:r>
    </w:p>
    <w:p>
      <w:pPr>
        <w:keepNext/>
        <w:spacing w:before="160" w:after="40"/>
      </w:pPr>
      <w:r>
        <w:rPr>
          <w:b/>
          <w:color w:val="595959"/>
          <w:sz w:val="22"/>
        </w:rPr>
        <w:t>Konkrete Auffälligkeiten und vorgenommene Verbesserungen:</w:t>
      </w:r>
    </w:p>
    <w:p>
      <w:pPr>
        <w:pStyle w:val="ListBullet"/>
        <w:spacing w:after="60"/>
      </w:pPr>
      <w:r>
        <w:rPr>
          <w:b/>
        </w:rPr>
        <w:t xml:space="preserve">Single-Thought-Regel: </w:t>
      </w:r>
      <w:r>
        <w:t>In MAILS-Item 9 wurden Chancen und Grenzen gleichzeitig abgefragt („limitations and opportunities“). In B1 wurde dies strikt auf „Grenzen“ eingegrenzt, um Doppelbewertungen auszuschließen. Die Bedingung in N3 („Wenn generative KI an meinem Arbeitsplatz verfügbar wäre, ...“) gehört zu einem einzelnen hypothetischen Gedanken und ist methodisch zulässig.</w:t>
      </w:r>
    </w:p>
    <w:p>
      <w:pPr>
        <w:pStyle w:val="ListBullet"/>
        <w:spacing w:after="60"/>
      </w:pPr>
      <w:r>
        <w:rPr>
          <w:b/>
        </w:rPr>
        <w:t xml:space="preserve">Trennung von Selbsteinschätzung und Verhalten: </w:t>
      </w:r>
      <w:r>
        <w:t>Die Items in den Bereichen A, B, L und E erfassen konsistent Fähigkeiten oder Zutrauen („Ich kann ...“, „Ich traue mir zu ...“), während V die Technologieeinschätzung und N die Handlungsabsicht abbildet.</w:t>
      </w:r>
    </w:p>
    <w:p>
      <w:pPr>
        <w:pStyle w:val="ListBullet"/>
        <w:spacing w:after="60"/>
      </w:pPr>
      <w:r>
        <w:rPr>
          <w:b/>
        </w:rPr>
        <w:t xml:space="preserve">Abgrenzung von Vertrauen und Datensicherheit: </w:t>
      </w:r>
      <w:r>
        <w:t>Die Items D1–D3 aus Fragebogen 4 messen wahrgenommene Datensicherheit und stellen keinen Beleg für individuelle Datenschutzkompetenz dar. Zudem wurde Vertrauen (V3) als Zuarbeitsbereitschaft operationalisiert, ohne auf menschliche Endkontrolle zu verzichten.</w:t>
      </w:r>
    </w:p>
    <w:p>
      <w:pPr>
        <w:keepNext/>
        <w:spacing w:before="160" w:after="40"/>
      </w:pPr>
      <w:r>
        <w:rPr>
          <w:b/>
          <w:color w:val="595959"/>
          <w:sz w:val="22"/>
        </w:rPr>
        <w:t>Verbleibende methodische Grenzen und Unsicherheiten:</w:t>
      </w:r>
    </w:p>
    <w:p>
      <w:pPr>
        <w:pStyle w:val="ListBullet"/>
        <w:spacing w:after="60"/>
      </w:pPr>
      <w:r>
        <w:rPr>
          <w:b/>
        </w:rPr>
        <w:t xml:space="preserve">Theoriegeleitete Eigenentwicklungen: </w:t>
      </w:r>
      <w:r>
        <w:t>Die Items E3 (Erkennung von Vorurteilen) und V3 (Zuarbeitsbereitschaft) stellen theoriegeleitete Konstruktionen dar. Für diese Aussagen liegen noch keine empirischen Faktorladungen vor.</w:t>
      </w:r>
    </w:p>
    <w:p>
      <w:pPr>
        <w:pStyle w:val="ListBullet"/>
        <w:spacing w:after="60"/>
      </w:pPr>
      <w:r>
        <w:rPr>
          <w:b/>
        </w:rPr>
        <w:t xml:space="preserve">Keine statistischen Gütewerte: </w:t>
      </w:r>
      <w:r>
        <w:t>Für den neu zusammengestellten Fragebogen können keine statistischen Kennwerte (wie Reliabilitätskoeffizienten oder faktorielle Validität) behauptet werden. Auch die Messqualität der einzelnen adaptierten Subskalen ist im neuen Kontext noch nicht empirisch nachgewiesen.</w:t>
      </w:r>
    </w:p>
    <w:p>
      <w:pPr>
        <w:pStyle w:val="ListBullet"/>
        <w:spacing w:after="60"/>
      </w:pPr>
      <w:r>
        <w:rPr>
          <w:b/>
        </w:rPr>
        <w:t xml:space="preserve">Kein aggregierter Gesamtscore: </w:t>
      </w:r>
      <w:r>
        <w:t>Für diesen Entwurf darf kein gemeinsamer Summen- oder Mittelwert für eine globale „Readiness“ gebildet werden. Die sechs Bereiche stellen eine theoriegeleitete Zusammenstellung für den spezifischen Anwendungsfall dar und bilden kein bereits empirisch bestätigtes Gesamtmodell.</w:t>
      </w:r>
    </w:p>
    <w:p>
      <w:pPr>
        <w:pStyle w:val="ListBullet"/>
        <w:spacing w:after="60"/>
      </w:pPr>
      <w:r>
        <w:rPr>
          <w:b/>
        </w:rPr>
        <w:t xml:space="preserve">Methodische Trennung zukünftiger Prüfschritte: </w:t>
      </w:r>
      <w:r>
        <w:t>Vor einem Praxiseinsatz ist zunächst ein qualitativer kognitiver Verständlichkeits-Pretest (z. B. Think-Aloud) mit Beschäftigten durchzuführen. Dieser qualitative Schritt ist strikt von einer späteren quantitativ-statistischen Überprüfung anhand von Erhebungsdaten zu trennen.</w:t>
      </w:r>
    </w:p>
    <w:p>
      <w:pPr>
        <w:pStyle w:val="ListBullet"/>
        <w:spacing w:after="60"/>
      </w:pPr>
      <w:r>
        <w:rPr>
          <w:b/>
        </w:rPr>
        <w:t xml:space="preserve">Grenzen der internen Prüfung: </w:t>
      </w:r>
      <w:r>
        <w:t>Diese methodische Dokumentation reflektiert die theoriegeleitete Konstruktion, schließt jedoch nicht pauschal alle Mängel aus und ersetzt weder die inhaltliche Quellenprüfung durch den Anwender noch eine künftige empirische Validierungsstudie.</w:t>
      </w:r>
    </w:p>
    <w:p>
      <w:pPr>
        <w:keepNext/>
        <w:spacing w:before="320" w:after="120"/>
      </w:pPr>
      <w:r>
        <w:rPr>
          <w:b/>
          <w:color w:val="1F4E79"/>
          <w:sz w:val="32"/>
        </w:rPr>
        <w:t>Anhang: Liste der Änderungen gegenüber der vorherigen Fassung</w:t>
      </w:r>
    </w:p>
    <w:p>
      <w:r>
        <w:t>Zusammenfassung aller Anpassungen und Präzisierungen im vorliegenden Dokument:</w:t>
      </w:r>
    </w:p>
    <w:p>
      <w:pPr>
        <w:pStyle w:val="ListBullet"/>
        <w:spacing w:after="60"/>
      </w:pPr>
      <w:r>
        <w:rPr>
          <w:b/>
        </w:rPr>
        <w:t xml:space="preserve">Formale Bereinigung: </w:t>
      </w:r>
      <w:r>
        <w:t>Der Fragebogen (Teil I) wird nur noch einmal vollständig ausgegeben; doppelte Einleitungen, abgebrochene Tabellen und Textwiederholungen wurden vollständig beseitigt.</w:t>
      </w:r>
    </w:p>
    <w:p>
      <w:pPr>
        <w:pStyle w:val="ListBullet"/>
        <w:spacing w:after="60"/>
      </w:pPr>
      <w:r>
        <w:rPr>
          <w:b/>
        </w:rPr>
        <w:t xml:space="preserve">Exakte Wortlaute: </w:t>
      </w:r>
      <w:r>
        <w:t>Die sechs vorgegebenen Formulierungen für B1, V1, V2, E3, N2 und N3 wurden buchstabengetreu in den Fragebogen und die Dokumentation integriert.</w:t>
      </w:r>
    </w:p>
    <w:p>
      <w:pPr>
        <w:pStyle w:val="ListBullet"/>
        <w:spacing w:after="60"/>
      </w:pPr>
      <w:r>
        <w:rPr>
          <w:b/>
        </w:rPr>
        <w:t xml:space="preserve">Transparente Herkunftstabelle: </w:t>
      </w:r>
      <w:r>
        <w:t>Die Herkunftstabelle wurde an die neuen Formulierungen angepasst; insbesondere wurde bei B1 explizit dokumentiert, warum die Vorlage zur Einhaltung der Single-Thought-Regel auf „Grenzen“ eingegrenzt wurde.</w:t>
      </w:r>
    </w:p>
    <w:p>
      <w:pPr>
        <w:pStyle w:val="ListBullet"/>
        <w:spacing w:after="60"/>
      </w:pPr>
      <w:r>
        <w:rPr>
          <w:b/>
        </w:rPr>
        <w:t xml:space="preserve">Korrektur zur Skalendokumentation: </w:t>
      </w:r>
      <w:r>
        <w:t>Die unbelegte Behauptung, die Originalskala von Fragebogen 4 habe fünf Stufen umfasst, wurde gestrichen und der unklare Dokumentationsstand der Vorlage transparent offengelegt.</w:t>
      </w:r>
    </w:p>
    <w:p>
      <w:pPr>
        <w:pStyle w:val="ListBullet"/>
        <w:spacing w:after="60"/>
      </w:pPr>
      <w:r>
        <w:rPr>
          <w:b/>
        </w:rPr>
        <w:t xml:space="preserve">Bereinigung der Skalenbegründung: </w:t>
      </w:r>
      <w:r>
        <w:t>Das einheitliche Antwortformat wird nun ausschließlich als Gestaltungsentscheidung zur formalen Vereinheitlichung begründet; alle unbelegten Wirkungsbehauptungen (einschließlich der Formulierung zu „kognitiven Brüchen“) wurden entfernt.</w:t>
      </w:r>
    </w:p>
    <w:p>
      <w:pPr>
        <w:pStyle w:val="ListBullet"/>
        <w:spacing w:after="60"/>
      </w:pPr>
      <w:r>
        <w:rPr>
          <w:b/>
        </w:rPr>
        <w:t xml:space="preserve">Korrektur des Qualitätschecks: </w:t>
      </w:r>
      <w:r>
        <w:t>Die Aussage zu MAILS-Item 17, der ungenutzte Reliabilitätswert zur Persuasion Literacy sowie sämtliche statistischen Schwellenwerte und Stichprobengrößen wurden vollständig entfernt.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Seite </w:t>
    </w:r>
    <w:fldSimple w:instr="PAGE"/>
    <w:r>
      <w:rPr>
        <w:color w:val="595959"/>
        <w:sz w:val="18"/>
      </w:rPr>
      <w:t xml:space="preserve"> von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KI-Readiness Fragebogenentwurf &amp; Begleitdokumentation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