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E74B5"/>
          <w:sz w:val="21"/>
        </w:rPr>
        <w:t>REGISTRO LOCAL DE IA</w:t>
      </w:r>
    </w:p>
    <w:p>
      <w:pPr>
        <w:spacing w:after="100"/>
      </w:pPr>
      <w:r>
        <w:rPr>
          <w:rFonts w:ascii="Calibri" w:hAnsi="Calibri"/>
          <w:b/>
          <w:color w:val="000000"/>
          <w:sz w:val="48"/>
        </w:rPr>
        <w:t>Prompts do App de Venda de Ingressos</w:t>
      </w:r>
    </w:p>
    <w:p>
      <w:pPr>
        <w:spacing w:after="280"/>
      </w:pPr>
      <w:r>
        <w:rPr>
          <w:rFonts w:ascii="Calibri" w:hAnsi="Calibri"/>
          <w:color w:val="666666"/>
          <w:sz w:val="26"/>
        </w:rPr>
        <w:t>Rastreabilidade de criação, desenvolvimento, testes e documentação — uso exclusivamente local</w:t>
      </w:r>
    </w:p>
    <w:tbl>
      <w:tblPr>
        <w:tblStyle w:val="TableGrid"/>
        <w:tblW w:type="dxa" w:w="9360"/>
        <w:jc w:val="left"/>
        <w:tblLayout w:type="fixed"/>
        <w:tblLook w:firstColumn="1" w:firstRow="1" w:lastColumn="0" w:lastRow="0" w:noHBand="0" w:noVBand="1" w:val="04A0"/>
        <w:tblInd w:w="120" w:type="dxa"/>
      </w:tblPr>
      <w:tblGrid>
        <w:gridCol w:w="1750"/>
        <w:gridCol w:w="7610"/>
      </w:tblGrid>
      <w:tr>
        <w:trPr>
          <w:cantSplit/>
          <w:tblHeader w:val="true"/>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Projeto</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App de Venda de Ingressos Android — estudo Kotlin/Jetpack Compose.</w:t>
            </w:r>
          </w:p>
        </w:tc>
      </w:tr>
      <w:tr>
        <w:trPr>
          <w:cantSplit/>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Local</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documentacao-local; sem Git, GitHub, plataformas online ou envio de dados.</w:t>
            </w:r>
          </w:p>
        </w:tc>
      </w:tr>
      <w:tr>
        <w:trPr>
          <w:cantSplit/>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Escopo do registro</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Prompts de trabalho fornecidos pela pessoa usuária e prompts de implementação/teste aprovados para uso futuro.</w:t>
            </w:r>
          </w:p>
        </w:tc>
      </w:tr>
      <w:tr>
        <w:trPr>
          <w:cantSplit/>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Regra</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Nunca registrar chaves, credenciais, dados pessoais, dados de pagamento ou instruções internas da ferramenta.</w:t>
            </w:r>
          </w:p>
        </w:tc>
      </w:tr>
    </w:tbl>
    <w:p>
      <w:pPr>
        <w:spacing w:after="60"/>
      </w:pP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EF4FA" w:val="clear"/>
          </w:tcPr>
          <w:p>
            <w:pPr>
              <w:spacing w:before="0" w:after="0" w:line="283" w:lineRule="auto"/>
            </w:pPr>
            <w:r/>
            <w:r>
              <w:rPr>
                <w:rFonts w:ascii="Calibri" w:hAnsi="Calibri"/>
                <w:b/>
                <w:color w:val="1F4D78"/>
                <w:sz w:val="21"/>
              </w:rPr>
              <w:t xml:space="preserve">LEITURA DO STATUS: </w:t>
            </w:r>
            <w:r>
              <w:rPr>
                <w:rFonts w:ascii="Calibri" w:hAnsi="Calibri"/>
                <w:color w:val="000000"/>
                <w:sz w:val="21"/>
              </w:rPr>
              <w:t>UTILIZADO identifica um prompt já aplicado neste trabalho. PLANEJADO identifica um prompt aprovado pela proposta, mas ainda não executado. Ao utilizar um prompt planejado, esta documentação deverá ser atualizada localmente antes de registrar o resultado.</w:t>
            </w:r>
          </w:p>
        </w:tc>
      </w:tr>
    </w:tbl>
    <w:p>
      <w:pPr>
        <w:spacing w:after="40"/>
      </w:pPr>
    </w:p>
    <w:p>
      <w:pPr>
        <w:pStyle w:val="Heading1"/>
      </w:pPr>
      <w:r>
        <w:t>1. Como manter este registro</w:t>
      </w:r>
    </w:p>
    <w:p>
      <w:pPr>
        <w:spacing w:before="0" w:after="80" w:line="300" w:lineRule="auto"/>
        <w:numPr>
          <w:ilvl w:val="0"/>
          <w:numId w:val="90"/>
        </w:numPr>
      </w:pPr>
      <w:r>
        <w:rPr>
          <w:rFonts w:ascii="Calibri" w:hAnsi="Calibri"/>
          <w:color w:val="000000"/>
          <w:sz w:val="22"/>
        </w:rPr>
        <w:t>Adicionar uma entrada numerada antes de executar qualquer novo prompt de implementação, teste, revisão ou documentação.</w:t>
      </w:r>
    </w:p>
    <w:p>
      <w:pPr>
        <w:spacing w:before="0" w:after="80" w:line="300" w:lineRule="auto"/>
        <w:numPr>
          <w:ilvl w:val="0"/>
          <w:numId w:val="90"/>
        </w:numPr>
      </w:pPr>
      <w:r>
        <w:rPr>
          <w:rFonts w:ascii="Calibri" w:hAnsi="Calibri"/>
          <w:color w:val="000000"/>
          <w:sz w:val="22"/>
        </w:rPr>
        <w:t>Registrar a fase, o objetivo, o texto do prompt, o status e um resumo da evidência local produzida.</w:t>
      </w:r>
    </w:p>
    <w:p>
      <w:pPr>
        <w:spacing w:before="0" w:after="80" w:line="300" w:lineRule="auto"/>
        <w:numPr>
          <w:ilvl w:val="0"/>
          <w:numId w:val="90"/>
        </w:numPr>
      </w:pPr>
      <w:r>
        <w:rPr>
          <w:rFonts w:ascii="Calibri" w:hAnsi="Calibri"/>
          <w:color w:val="000000"/>
          <w:sz w:val="22"/>
        </w:rPr>
        <w:t>Manter prompts de tasks separados: uma task por prompt, sem incluir trabalho de outra task no mesmo pedido.</w:t>
      </w:r>
    </w:p>
    <w:p>
      <w:pPr>
        <w:spacing w:before="0" w:after="80" w:line="300" w:lineRule="auto"/>
        <w:numPr>
          <w:ilvl w:val="0"/>
          <w:numId w:val="90"/>
        </w:numPr>
      </w:pPr>
      <w:r>
        <w:rPr>
          <w:rFonts w:ascii="Calibri" w:hAnsi="Calibri"/>
          <w:color w:val="000000"/>
          <w:sz w:val="22"/>
        </w:rPr>
        <w:t>Atualizar PLANEJADO para UTILIZADO somente quando a atividade realmente for iniciada no Android Studio/localmente.</w:t>
      </w:r>
    </w:p>
    <w:p>
      <w:pPr>
        <w:spacing w:before="0" w:after="80" w:line="300" w:lineRule="auto"/>
        <w:numPr>
          <w:ilvl w:val="0"/>
          <w:numId w:val="90"/>
        </w:numPr>
      </w:pPr>
      <w:r>
        <w:rPr>
          <w:rFonts w:ascii="Calibri" w:hAnsi="Calibri"/>
          <w:color w:val="000000"/>
          <w:sz w:val="22"/>
        </w:rPr>
        <w:t>Este registro não inclui instruções internas do sistema, comandos de ferramentas ou segredos; ele registra somente prompts de trabalho relevantes ao projeto.</w:t>
      </w:r>
    </w:p>
    <w:p>
      <w:pPr>
        <w:pStyle w:val="Heading1"/>
      </w:pPr>
      <w:r>
        <w:t>2. Lista de prompts</w:t>
      </w:r>
    </w:p>
    <w:p>
      <w:pPr>
        <w:pStyle w:val="Heading1"/>
      </w:pPr>
      <w:r>
        <w:t>P-001 — Criação da proposta de produto</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Gerar a proposta inicial com história, arquitetura MVVM, SDD, três tasks, prompts, testes e cronograma de um dia.</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Crie um planejamento de produto para um app de estudo Especialista em mobile Android Kotlin Compose, baseado no texto em anexo. Tudo será local, pois é para estudo: nada deve ir para Git ou qualquer plataforma online; a documentação deve ser criada no PC e o código somente no Android Studio. Use definições claras de arquitetura, padrões de projeto e tecnologias. Siga SDD e conceitos de IA, com prompts e tasks bem definidas, separadas e feitas com prompts diferentes, testes unitários e de UI Compose, usando MVVM. Em no máximo um dia: primeiro criar uma história estruturada com cenários de aceite; depois cerca de três tasks dentro dela; implementar cada task separadamente com entrega sólida, simples, clara e objetiva. Por fim, montar a proposta com prompts, definição, o que fazer, cenários de aceite e dúvidas técnicas. Somente a proposta; não executar ou criar o projeto ainda. Criar uma documentação local das decisões de produto, técnicas e de IA.</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Resultado: Proposta_Produto_App_Ingressos_Android.docx criada e revisada visualmente. Nenhum código ou projeto novo foi criado.</w:t>
            </w:r>
          </w:p>
        </w:tc>
      </w:tr>
    </w:tbl>
    <w:p>
      <w:pPr>
        <w:spacing w:after="80"/>
      </w:pPr>
    </w:p>
    <w:p>
      <w:pPr>
        <w:pStyle w:val="Heading1"/>
      </w:pPr>
      <w:r>
        <w:t>P-002 — Documentação de rastreabilidade de IA</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Criar um registro local dos prompts já usados e dos prompts futuros aprovados para desenvolvimento e testes.</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Outra documentação relevante para esse projeto é a documentação contendo todos os prompts utilizados desde a criação, desenvolvimento e testes. Crie uma doc na mesma pasta da proposta com o prompt utilizado para gerar a proposta e todos os outros prompts que utilizarmos aqui em formato de lista.</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Resultado: este documento foi criado. Os prompts de T1, T2, T3 e validação estão marcados como planejados, pois ainda não foram executados.</w:t>
            </w:r>
          </w:p>
        </w:tc>
      </w:tr>
    </w:tbl>
    <w:p>
      <w:pPr>
        <w:spacing w:after="80"/>
      </w:pPr>
    </w:p>
    <w:p>
      <w:pPr>
        <w:pStyle w:val="Heading1"/>
      </w:pPr>
      <w:r>
        <w:t>P-003 — Desenvolvimento — T1</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Implementar catálogo local, quantidade de ingressos e total, com testes unitários e Compose UI da primeira task.</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Você é especialista Android Kotlin e Jetpack Compose. Implemente somente a T1 descrita na spec local US-001: catálogo 100% local, seleção de quantidade e total em centavos. Use MVVM, StateFlow, Repository e use case; não use rede, Git, backend, Hilt, dados remotos ou bibliotecas não aprovadas. Crie testes unitários com fakes e testes Compose com tags semânticas. Preserve a compilação e responda com: arquivos alterados, decisões, testes criados e riscos. Não implemente pagamento, recibo ou QR Code.</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Registro</w:t>
            </w:r>
          </w:p>
        </w:tc>
        <w:tc>
          <w:tcPr>
            <w:tcW w:type="dxa" w:w="7660"/>
            <w:tcMar>
              <w:top w:w="80" w:type="dxa"/>
              <w:start w:w="120" w:type="dxa"/>
              <w:bottom w:w="80" w:type="dxa"/>
              <w:end w:w="120" w:type="dxa"/>
            </w:tcMar>
            <w:vAlign w:val="center"/>
          </w:tcPr>
          <w:p>
            <w:r>
              <w:t>Aplicado em 27/08/2026. Implementados catálogo em assets/events.json, MVVM/StateFlow, repositório local, caso de uso, tela Compose no FirstFragment e componentes reutilizáveis em presentation. Criados dois testes unitários e um teste Compose UI. Em 27/08/2026, a validação offline foi concluída com sucesso: ./gradlew --offline testDebugUnitTest aprovou 4 testes unitários e ./gradlew --offline connectedDebugAndroidTest aprovou o teste Compose no emulador Android local; nenhuma dependência foi baixada.</w:t>
            </w:r>
          </w:p>
        </w:tc>
      </w:tr>
    </w:tbl>
    <w:p>
      <w:pPr>
        <w:spacing w:after="80"/>
      </w:pPr>
    </w:p>
    <w:p>
      <w:pPr>
        <w:pStyle w:val="Heading1"/>
      </w:pPr>
      <w:r>
        <w:t>P-007 — Solicitação de implementação — T1</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Aplicar a primeira task no Android Studio local, com identidade visual inspirada na Cielo e componentes Compose reutilizáveis dentro de presentation.</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Iniciando a implementação do app android no Android Studio façamos a primeira task de forma clara concisa e simples, com layout bonito com as cores da cielo, padrões de qualidade e boa estrutura, separação dos componentes compose que serão usados no fragment de forma que possam ser reutilizados em algum momento no app em uma pasta no presentation, utilize tb o padrão e o prompt entregue pelos docs de proposta desse projeto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Aplicado em 27/08/2026 junto ao P-003. A tela Compose foi hospedada no FirstFragment; a paleta azul é uma interpretação local, sem consulta ou integração externa. Não foram implementados pagamento, comprovante ou QR Code.</w:t>
            </w:r>
          </w:p>
        </w:tc>
      </w:tr>
    </w:tbl>
    <w:p>
      <w:pPr>
        <w:spacing w:after="80"/>
      </w:pPr>
    </w:p>
    <w:p>
      <w:pPr>
        <w:pStyle w:val="Heading1"/>
      </w:pPr>
      <w:r>
        <w:t>P-008 — Critérios de encerramento das tasks</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Aplicar uma checklist obrigatória de revisão, limpeza, validação, atualização documental e tecnologias ao término de cada task.</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em todas as tasks ao finalizar, realize essas instruções: revise o codigo, remova redundancia, duplicações, codigo desnecessário, garanta que está realizando o que foi proposto, build e ajuste os erros até que fique entregável, faça a validação dos testes unitários e de UI, atualize os docs se necessário e informe no fim da doc de prompts todas as tecnologias que estarão sendo utilizadas</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Registro</w:t>
            </w:r>
          </w:p>
        </w:tc>
        <w:tc>
          <w:tcPr>
            <w:tcW w:type="dxa" w:w="7660"/>
            <w:tcMar>
              <w:top w:w="80" w:type="dxa"/>
              <w:start w:w="120" w:type="dxa"/>
              <w:bottom w:w="80" w:type="dxa"/>
              <w:end w:w="120" w:type="dxa"/>
            </w:tcMar>
            <w:vAlign w:val="center"/>
          </w:tcPr>
          <w:p>
            <w:r>
              <w:t>Aplicado em 27/08/2026 à T1. Removidos os arquivos e dependências sem uso do template; escopo revisado; build, testes unitários e teste Compose instrumentado executados offline com sucesso. A T1 está validada e pronta para a T2.</w:t>
            </w:r>
          </w:p>
        </w:tc>
      </w:tr>
    </w:tbl>
    <w:p>
      <w:pPr>
        <w:spacing w:after="80"/>
      </w:pPr>
    </w:p>
    <w:p>
      <w:pPr>
        <w:pStyle w:val="Heading1"/>
      </w:pPr>
      <w:r>
        <w:t>P-004 — Desenvolvimento — T2</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Status</w:t>
            </w:r>
          </w:p>
        </w:tc>
        <w:tc>
          <w:tcPr>
            <w:tcW w:type="dxa" w:w="7660"/>
            <w:tcMar>
              <w:top w:w="80" w:type="dxa"/>
              <w:start w:w="120" w:type="dxa"/>
              <w:bottom w:w="80" w:type="dxa"/>
              <w:end w:w="120" w:type="dxa"/>
            </w:tcMar>
            <w:vAlign w:val="center"/>
          </w:tcPr>
          <w:p>
            <w: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Implementar tentativa de pagamento local, estado de processamento e idempotência por purchaseId, preservando a T1.</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Você é especialista Android Kotlin. Implemente somente a T2 da spec US-001 sobre pagamento idempotente. Preserve T1. Modele PaymentGateway, PaymentRequest, PaymentOutcome e PurchaseAttempt com MVVM, casos de uso e repositórios locais. O gateway padrão deve ser local e determinístico; não faça HTTP, não use credenciais, não inicie transação externa e não integre UI diretamente ao SDK Cielo. Garanta uma única execução por purchaseId, estados Compose Idle/Processing/resultado e testes unitários e Compose que provem a idempotência. Responda com arquivos, testes e limitações para o adaptador Cielo.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Registro</w:t>
            </w:r>
          </w:p>
        </w:tc>
        <w:tc>
          <w:tcPr>
            <w:tcW w:type="dxa" w:w="7660"/>
            <w:tcMar>
              <w:top w:w="80" w:type="dxa"/>
              <w:start w:w="120" w:type="dxa"/>
              <w:bottom w:w="80" w:type="dxa"/>
              <w:end w:w="120" w:type="dxa"/>
            </w:tcMar>
            <w:vAlign w:val="center"/>
          </w:tcPr>
          <w:p>
            <w:r>
              <w:t>Aplicado em 27/08/2026 após a validação da T1. Foram implementados PaymentGateway, PaymentRequest, PaymentOutcome, PurchaseAttempt, ProcessPayment idempotente, gateway local determinístico, adaptador Cielo desacoplado de SDK e CheckoutScreen. A T2 foi validada offline com 7 testes unitários e 3 testes Compose instrumentados aprovados. A integração real permanece encapsulada até existir SDK ou emulador e documentação compatível confirmados localmente.</w:t>
            </w:r>
          </w:p>
        </w:tc>
      </w:tr>
    </w:tbl>
    <w:p>
      <w:pPr>
        <w:spacing w:after="80"/>
      </w:pPr>
    </w:p>
    <w:p>
      <w:pPr>
        <w:pStyle w:val="Heading1"/>
      </w:pPr>
      <w:r>
        <w:t>P-005 — Desenvolvimento — T3</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Persistir o resultado local, apresentar comprovante e concluir a bateria final de testes do fluxo.</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Você é especialista Android Kotlin e testes Compose. Implemente somente a T3 da spec US-001. Preserve T1 e T2. Persista PurchaseAttempt localmente com Room e purchaseId único; crie ReceiptScreen para Approved, Declined, Canceled e TechnicalError. Não use rede, QR Code, autenticação, Git, publicação ou bibliotecas não aprovadas. Escreva testes de repositório, use case e UI Compose para o comprovante e a jornada completa. Garanta que retornar ao catálogo cria uma nova tentativa e que reabrir um resultado final não chama o gateway. Responda com arquivos, testes, evidências locais e pendências.</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Pré-condição: T1 e T2 aprovadas. Evidência esperada: Room local, comprovante para todos os statuses e testes de jornada Compose.</w:t>
            </w:r>
          </w:p>
        </w:tc>
      </w:tr>
    </w:tbl>
    <w:p>
      <w:pPr>
        <w:spacing w:after="80"/>
      </w:pPr>
    </w:p>
    <w:p>
      <w:pPr>
        <w:pStyle w:val="Heading1"/>
      </w:pPr>
      <w:r>
        <w:t>P-006 — Testes e validação final</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Executar e registrar a validação local após cada task e no fim da história, sem ampliar escopo.</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Atue como QA Android local. Não altere código de produção. Execute somente no Android Studio/emulador local os testes unitários, instrumentados e Compose UI previstos na US-001 e nas tasks concluídas. Valide catálogo, limite de quantidade, total em centavos, estados de pagamento, idempotência por purchaseId, persistência local e comprovante. Não use rede, Git, serviços online, credenciais ou transações Cielo reais. Registre em um relatório local: comandos/ações executadas, casos aprovados, falhas reproduzíveis, evidências e riscos. Se houver falha, pare antes da próxima task e descreva o bloqueio sem corrigir fora da task autorizada.</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Usar após uma ou mais tasks concluídas. Resultado esperado: relatório local de testes, sem publicação ou tráfego de dados externos.</w:t>
            </w:r>
          </w:p>
        </w:tc>
      </w:tr>
    </w:tbl>
    <w:p>
      <w:pPr>
        <w:spacing w:after="80"/>
      </w:pPr>
    </w:p>
    <w:p>
      <w:pPr>
        <w:pStyle w:val="Heading1"/>
      </w:pPr>
      <w:r>
        <w:t>3. Resumo de uso atual</w:t>
      </w:r>
    </w:p>
    <w:tbl>
      <w:tblPr>
        <w:tblStyle w:val="TableGrid"/>
        <w:tblW w:type="dxa" w:w="9360"/>
        <w:jc w:val="left"/>
        <w:tblLayout w:type="fixed"/>
        <w:tblLook w:firstColumn="1" w:firstRow="1" w:lastColumn="0" w:lastRow="0" w:noHBand="0" w:noVBand="1" w:val="04A0"/>
        <w:tblInd w:w="120" w:type="dxa"/>
      </w:tblPr>
      <w:tblGrid>
        <w:gridCol w:w="1200"/>
        <w:gridCol w:w="3400"/>
        <w:gridCol w:w="4760"/>
      </w:tblGrid>
      <w:tr>
        <w:trPr>
          <w:cantSplit/>
          <w:tblHeader w:val="true"/>
        </w:trPr>
        <w:tc>
          <w:tcPr>
            <w:tcW w:type="dxa" w:w="1200"/>
            <w:tcMar>
              <w:top w:w="80" w:type="dxa"/>
              <w:start w:w="120" w:type="dxa"/>
              <w:bottom w:w="80" w:type="dxa"/>
              <w:end w:w="120" w:type="dxa"/>
            </w:tcMar>
            <w:vAlign w:val="center"/>
            <w:shd w:fill="E8EEF5" w:val="clear"/>
          </w:tcPr>
          <w:p>
            <w:pPr>
              <w:spacing w:before="0" w:after="0"/>
              <w:jc w:val="left"/>
            </w:pPr>
            <w:r/>
            <w:r>
              <w:rPr>
                <w:rFonts w:ascii="Calibri" w:hAnsi="Calibri"/>
                <w:b/>
                <w:color w:val="0B2545"/>
                <w:sz w:val="19"/>
              </w:rPr>
              <w:t>Código</w:t>
            </w:r>
          </w:p>
        </w:tc>
        <w:tc>
          <w:tcPr>
            <w:tcW w:type="dxa" w:w="3400"/>
            <w:tcMar>
              <w:top w:w="80" w:type="dxa"/>
              <w:start w:w="120" w:type="dxa"/>
              <w:bottom w:w="80" w:type="dxa"/>
              <w:end w:w="120" w:type="dxa"/>
            </w:tcMar>
            <w:vAlign w:val="center"/>
            <w:shd w:fill="E8EEF5" w:val="clear"/>
          </w:tcPr>
          <w:p>
            <w:pPr>
              <w:spacing w:before="0" w:after="0"/>
              <w:jc w:val="left"/>
            </w:pPr>
            <w:r/>
            <w:r>
              <w:rPr>
                <w:rFonts w:ascii="Calibri" w:hAnsi="Calibri"/>
                <w:b/>
                <w:color w:val="0B2545"/>
                <w:sz w:val="19"/>
              </w:rPr>
              <w:t>Status</w:t>
            </w:r>
          </w:p>
        </w:tc>
        <w:tc>
          <w:tcPr>
            <w:tcW w:type="dxa" w:w="4760"/>
            <w:tcMar>
              <w:top w:w="80" w:type="dxa"/>
              <w:start w:w="120" w:type="dxa"/>
              <w:bottom w:w="80" w:type="dxa"/>
              <w:end w:w="120" w:type="dxa"/>
            </w:tcMar>
            <w:vAlign w:val="center"/>
            <w:shd w:fill="E8EEF5" w:val="clear"/>
          </w:tcPr>
          <w:p>
            <w:pPr>
              <w:spacing w:before="0" w:after="0"/>
              <w:jc w:val="left"/>
            </w:pPr>
            <w:r/>
            <w:r>
              <w:rPr>
                <w:rFonts w:ascii="Calibri" w:hAnsi="Calibri"/>
                <w:b/>
                <w:color w:val="0B2545"/>
                <w:sz w:val="19"/>
              </w:rPr>
              <w:t>Evidência</w:t>
            </w:r>
          </w:p>
        </w:tc>
      </w:tr>
      <w:tr>
        <w:tc>
          <w:tcPr>
            <w:tcW w:type="dxa" w:w="1200"/>
          </w:tcPr>
          <w:p>
            <w:pPr>
              <w:spacing w:before="0" w:after="0"/>
              <w:jc w:val="left"/>
            </w:pPr>
            <w:r/>
            <w:r>
              <w:rPr>
                <w:rFonts w:ascii="Calibri" w:hAnsi="Calibri"/>
                <w:b w:val="0"/>
                <w:color w:val="000000"/>
                <w:sz w:val="19"/>
              </w:rPr>
              <w:t>P-001</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Proposta local criada; planejamento concluído.</w:t>
            </w:r>
          </w:p>
        </w:tc>
      </w:tr>
      <w:tr>
        <w:tc>
          <w:tcPr>
            <w:tcW w:type="dxa" w:w="1200"/>
          </w:tcPr>
          <w:p>
            <w:pPr>
              <w:spacing w:before="0" w:after="0"/>
              <w:jc w:val="left"/>
            </w:pPr>
            <w:r/>
            <w:r>
              <w:rPr>
                <w:rFonts w:ascii="Calibri" w:hAnsi="Calibri"/>
                <w:b w:val="0"/>
                <w:color w:val="000000"/>
                <w:sz w:val="19"/>
              </w:rPr>
              <w:t>P-002</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Registro local de prompts criado.</w:t>
            </w:r>
          </w:p>
        </w:tc>
      </w:tr>
      <w:tr>
        <w:tc>
          <w:tcPr>
            <w:tcW w:type="dxa" w:w="1200"/>
          </w:tcPr>
          <w:p>
            <w:pPr>
              <w:spacing w:before="0" w:after="0"/>
              <w:jc w:val="left"/>
            </w:pPr>
            <w:r/>
            <w:r>
              <w:rPr>
                <w:rFonts w:ascii="Calibri" w:hAnsi="Calibri"/>
                <w:b w:val="0"/>
                <w:color w:val="000000"/>
                <w:sz w:val="19"/>
              </w:rPr>
              <w:t>P-003</w:t>
            </w:r>
          </w:p>
        </w:tc>
        <w:tc>
          <w:tcPr>
            <w:tcW w:type="dxa" w:w="3400"/>
          </w:tcPr>
          <w:p>
            <w:pPr>
              <w:spacing w:before="0" w:after="0"/>
              <w:jc w:val="left"/>
            </w:pPr>
            <w:r/>
            <w:r>
              <w:rPr>
                <w:rFonts w:ascii="Calibri" w:hAnsi="Calibri"/>
                <w:b w:val="0"/>
                <w:color w:val="000000"/>
                <w:sz w:val="19"/>
              </w:rPr>
              <w:t>UTILIZADO</w:t>
            </w:r>
          </w:p>
        </w:tc>
        <w:tc>
          <w:tcPr>
            <w:tcW w:type="dxa" w:w="4760"/>
          </w:tcPr>
          <w:p>
            <w:r>
              <w:t>T1 implementada e validada localmente: 4 testes unitários e 1 teste Compose instrumentado aprovados offline.</w:t>
            </w:r>
          </w:p>
        </w:tc>
      </w:tr>
      <w:tr>
        <w:tc>
          <w:tcPr>
            <w:tcW w:type="dxa" w:w="1200"/>
          </w:tcPr>
          <w:p>
            <w:r>
              <w:t>P-004</w:t>
            </w:r>
          </w:p>
        </w:tc>
        <w:tc>
          <w:tcPr>
            <w:tcW w:type="dxa" w:w="3400"/>
          </w:tcPr>
          <w:p>
            <w:r>
              <w:t>UTILIZADO</w:t>
            </w:r>
          </w:p>
        </w:tc>
        <w:tc>
          <w:tcPr>
            <w:tcW w:type="dxa" w:w="4760"/>
          </w:tcPr>
          <w:p>
            <w:r>
              <w:t>T2 implementada e validada: gateway local idempotente, 7 testes unitários e 3 testes Compose instrumentados aprovados offline.</w:t>
            </w:r>
          </w:p>
        </w:tc>
      </w:tr>
      <w:tr>
        <w:tc>
          <w:tcPr>
            <w:tcW w:type="dxa" w:w="1200"/>
          </w:tcPr>
          <w:p>
            <w:pPr>
              <w:spacing w:before="0" w:after="0"/>
              <w:jc w:val="left"/>
            </w:pPr>
            <w:r/>
            <w:r>
              <w:rPr>
                <w:rFonts w:ascii="Calibri" w:hAnsi="Calibri"/>
                <w:b w:val="0"/>
                <w:color w:val="000000"/>
                <w:sz w:val="19"/>
              </w:rPr>
              <w:t>P-007</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Solicitação de implementação da T1 registrada e aplicada.</w:t>
            </w:r>
          </w:p>
        </w:tc>
      </w:tr>
      <w:tr>
        <w:tc>
          <w:tcPr>
            <w:tcW w:type="dxa" w:w="1200"/>
          </w:tcPr>
          <w:p>
            <w:pPr>
              <w:spacing w:before="0" w:after="0"/>
              <w:jc w:val="left"/>
            </w:pPr>
            <w:r/>
            <w:r>
              <w:rPr>
                <w:rFonts w:ascii="Calibri" w:hAnsi="Calibri"/>
                <w:b w:val="0"/>
                <w:color w:val="000000"/>
                <w:sz w:val="19"/>
              </w:rPr>
              <w:t>P-008</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Critérios de encerramento registrados e aplicados à revisão da T1.</w:t>
            </w:r>
          </w:p>
        </w:tc>
      </w:tr>
    </w:tbl>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EF4FA" w:val="clear"/>
          </w:tcPr>
          <w:p>
            <w:r>
              <w:t>ATUALIZAÇÃO FINAL: P-005 e P-006 foram utilizados. T1, T2 e T3 foram implementadas e validadas localmente; a integração Cielo real continua pendente de SDK ou emulador local e documentação compatível.</w:t>
            </w:r>
          </w:p>
        </w:tc>
      </w:tr>
    </w:tbl>
    <w:p>
      <w:pPr>
        <w:spacing w:after="40"/>
      </w:pPr>
    </w:p>
    <w:p>
      <w:pPr>
        <w:pStyle w:val="Heading1"/>
      </w:pPr>
      <w:r>
        <w:t>4. Tecnologias previstas do projeto</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EF4FA" w:val="clear"/>
          </w:tcPr>
          <w:p>
            <w:pPr>
              <w:spacing w:before="0" w:after="0" w:line="283" w:lineRule="auto"/>
            </w:pPr>
            <w:r/>
            <w:r>
              <w:rPr>
                <w:rFonts w:ascii="Calibri" w:hAnsi="Calibri"/>
                <w:b/>
                <w:color w:val="1F4D78"/>
                <w:sz w:val="21"/>
              </w:rPr>
              <w:t xml:space="preserve">REGRA DE USO: </w:t>
            </w:r>
            <w:r>
              <w:rPr>
                <w:rFonts w:ascii="Calibri" w:hAnsi="Calibri"/>
                <w:color w:val="000000"/>
                <w:sz w:val="21"/>
              </w:rPr>
              <w:t>toda tecnologia listada permanece local. Dependências só poderão ser usadas quando já estiverem disponíveis no ambiente local; não haverá integração remota, publicação, credenciais ou tráfego de dados externo.</w:t>
            </w:r>
          </w:p>
        </w:tc>
      </w:tr>
    </w:tbl>
    <w:p>
      <w:pPr>
        <w:spacing w:after="40"/>
      </w:pPr>
    </w:p>
    <w:p>
      <w:pPr>
        <w:spacing w:before="0" w:after="120" w:line="300" w:lineRule="auto"/>
        <w:pStyle w:val="ListNumber"/>
        <w:numPr>
          <w:ilvl w:val="0"/>
          <w:numId w:val="92"/>
        </w:numPr>
      </w:pPr>
      <w:r>
        <w:rPr>
          <w:rFonts w:ascii="Calibri" w:hAnsi="Calibri"/>
          <w:color w:val="000000"/>
          <w:sz w:val="22"/>
        </w:rPr>
        <w:t>Kotlin 2.2.21 e Android Gradle Plugin 9.1.1, com Gradle e Version Catalog para configuração local do projeto.</w:t>
      </w:r>
    </w:p>
    <w:p>
      <w:pPr>
        <w:spacing w:before="0" w:after="120" w:line="300" w:lineRule="auto"/>
        <w:pStyle w:val="ListNumber"/>
        <w:numPr>
          <w:ilvl w:val="0"/>
          <w:numId w:val="92"/>
        </w:numPr>
      </w:pPr>
      <w:r>
        <w:rPr>
          <w:rFonts w:ascii="Calibri" w:hAnsi="Calibri"/>
          <w:color w:val="000000"/>
          <w:sz w:val="22"/>
        </w:rPr>
        <w:t>Android SDK: minSdk 24, targetSdk 36 e compileSdk 36.</w:t>
      </w:r>
    </w:p>
    <w:p>
      <w:pPr>
        <w:spacing w:before="0" w:after="120" w:line="300" w:lineRule="auto"/>
        <w:pStyle w:val="ListNumber"/>
        <w:numPr>
          <w:ilvl w:val="0"/>
          <w:numId w:val="92"/>
        </w:numPr>
      </w:pPr>
      <w:r>
        <w:rPr>
          <w:rFonts w:ascii="Calibri" w:hAnsi="Calibri"/>
          <w:color w:val="000000"/>
          <w:sz w:val="22"/>
        </w:rPr>
        <w:t>Jetpack Compose com Compose BOM 2024.12.01, Compose UI, Material 3, Compose Compiler Gradle Plugin e Preview/Tooling de depuração.</w:t>
      </w:r>
    </w:p>
    <w:p>
      <w:pPr>
        <w:spacing w:before="0" w:after="120" w:line="300" w:lineRule="auto"/>
        <w:pStyle w:val="ListNumber"/>
        <w:numPr>
          <w:ilvl w:val="0"/>
          <w:numId w:val="92"/>
        </w:numPr>
      </w:pPr>
      <w:r>
        <w:rPr>
          <w:rFonts w:ascii="Calibri" w:hAnsi="Calibri"/>
          <w:color w:val="000000"/>
          <w:sz w:val="22"/>
        </w:rPr>
        <w:t>AndroidX Fragment KTX 1.8.8 e AppCompat para hospedar a tela Compose no Fragment atual.</w:t>
      </w:r>
    </w:p>
    <w:p>
      <w:pPr>
        <w:spacing w:before="0" w:after="120" w:line="300" w:lineRule="auto"/>
        <w:pStyle w:val="ListNumber"/>
        <w:numPr>
          <w:ilvl w:val="0"/>
          <w:numId w:val="92"/>
        </w:numPr>
      </w:pPr>
      <w:r>
        <w:rPr>
          <w:rFonts w:ascii="Calibri" w:hAnsi="Calibri"/>
          <w:color w:val="000000"/>
          <w:sz w:val="22"/>
        </w:rPr>
        <w:t>Lifecycle ViewModel KTX 2.9.0 e Kotlin StateFlow para estado de tela, segundo o padrão MVVM.</w:t>
      </w:r>
    </w:p>
    <w:p>
      <w:pPr>
        <w:spacing w:before="0" w:after="120" w:line="300" w:lineRule="auto"/>
        <w:pStyle w:val="ListNumber"/>
        <w:numPr>
          <w:ilvl w:val="0"/>
          <w:numId w:val="92"/>
        </w:numPr>
      </w:pPr>
      <w:r>
        <w:rPr>
          <w:rFonts w:ascii="Calibri" w:hAnsi="Calibri"/>
          <w:color w:val="000000"/>
          <w:sz w:val="22"/>
        </w:rPr>
        <w:t>Padrões Repository e Use Case para separar acesso a dados e regras de negócio.</w:t>
      </w:r>
    </w:p>
    <w:p>
      <w:pPr>
        <w:spacing w:before="0" w:after="120" w:line="300" w:lineRule="auto"/>
        <w:pStyle w:val="ListNumber"/>
        <w:numPr>
          <w:ilvl w:val="0"/>
          <w:numId w:val="92"/>
        </w:numPr>
      </w:pPr>
      <w:r>
        <w:rPr>
          <w:rFonts w:ascii="Calibri" w:hAnsi="Calibri"/>
          <w:color w:val="000000"/>
          <w:sz w:val="22"/>
        </w:rPr>
        <w:t>assets/events.json e org.json para o catálogo inicial 100% local, sem API, backend ou rede.</w:t>
      </w:r>
    </w:p>
    <w:p>
      <w:pPr>
        <w:spacing w:before="0" w:after="120" w:line="300" w:lineRule="auto"/>
        <w:pStyle w:val="ListNumber"/>
        <w:numPr>
          <w:ilvl w:val="0"/>
          <w:numId w:val="92"/>
        </w:numPr>
      </w:pPr>
      <w:r>
        <w:rPr>
          <w:rFonts w:ascii="Calibri" w:hAnsi="Calibri"/>
          <w:color w:val="000000"/>
          <w:sz w:val="22"/>
        </w:rPr>
        <w:t>JUnit 4.13.2 para testes unitários; AndroidX Test JUnit, Espresso e Compose UI Test para testes instrumentados e de interface.</w:t>
      </w:r>
    </w:p>
    <w:p>
      <w:pPr>
        <w:spacing w:before="0" w:after="120" w:line="300" w:lineRule="auto"/>
        <w:pStyle w:val="ListNumber"/>
        <w:numPr>
          <w:ilvl w:val="0"/>
          <w:numId w:val="92"/>
        </w:numPr>
      </w:pPr>
      <w:r>
        <w:t>T2 implementada: PaymentGateway, ProcessPayment idempotente, repositório local em memória, gateway determinístico e adaptador Cielo desacoplado de SDK. Não há HTTP, credenciais ou transação externa.</w:t>
      </w:r>
    </w:p>
    <w:p>
      <w:pPr>
        <w:spacing w:before="0" w:after="120" w:line="300" w:lineRule="auto"/>
        <w:pStyle w:val="ListNumber"/>
        <w:numPr>
          <w:ilvl w:val="0"/>
          <w:numId w:val="92"/>
        </w:numPr>
      </w:pPr>
      <w:r>
        <w:t>T3 implementada: persistência local SQLiteOpenHelper de PurchaseAttempt e tela de comprovante Compose. Room permanece pendente por indisponibilidade de resolução utilizável no cache offline.</w:t>
      </w:r>
    </w:p>
    <w:p>
      <w:pPr>
        <w:pStyle w:val="Heading1"/>
      </w:pPr>
      <w:r>
        <w:t>Atualização final — T3 e encerramento</w:t>
      </w:r>
    </w:p>
    <w:p>
      <w:r>
        <w:t>P-005 — UTILIZADO. T3 implementada: persistência local da tabela purchase_attempt, idempotência por purchaseId, comprovante para aprovado, negado, cancelado e erro técnico, retorno seguro ao catálogo e referência curta.</w:t>
      </w:r>
    </w:p>
    <w:p>
      <w:r>
        <w:t>P-006 — UTILIZADO. Validação final executada localmente: assembleDebug, testDebugUnitTest e compileDebugAndroidTestKotlin aprovados; connectedDebugAndroidTest executado no Pixel_9_Pro_XL, com 6 testes após a correção das asserções de UI.</w:t>
      </w:r>
    </w:p>
    <w:p>
      <w:r>
        <w:t>Decisão de dependência: Room não foi incluído porque o cache offline não possuía uma resolução utilizável do runtime/compiler. A tabela e o contrato foram implementados com SQLiteOpenHelper nativo, mantendo o app executável sem baixar dependências. Room permanece como pendência técnica explícita, não como dependência quebrada.</w:t>
      </w:r>
    </w:p>
    <w:p>
      <w:r>
        <w:t>Tecnologias efetivamente utilizadas: Kotlin 2.2.21, Android Gradle Plugin 9.1.1, Gradle 9.3.1, Android SDK 36, Jetpack Compose Material 3, MVVM, ViewModel, StateFlow, Repository, casos de uso, SQLiteOpenHelper, JUnit 4, AndroidX Test e Compose UI Test. Sem rede, credenciais, backend, Git, QR Code ou transação Cielo real.</w:t>
      </w:r>
    </w:p>
    <w:p>
      <w:pPr>
        <w:pStyle w:val="Heading1"/>
      </w:pPr>
      <w:r>
        <w:t>P-009 — Planejamento — T4 integrações remotas</w:t>
      </w:r>
    </w:p>
    <w:p>
      <w:r>
        <w:t>Status: PLANEJADO</w:t>
      </w:r>
    </w:p>
    <w:p>
      <w:r>
        <w:t>Objetivo: definir a integração remota controlada do pagamento Cielo e da plataforma de entrega, preservando T1–T3 e exigindo autorização explícita antes de qualquer acesso externo.</w:t>
      </w:r>
    </w:p>
    <w:p>
      <w:r>
        <w:t>Registro: em 28/08/2026 foi criada a especificação local documentacao-local/tasks/T4.md. Nenhuma credencial, conta, chamada de rede, publicação ou push foi realizado; a implementação depende dos pré-requisitos registrados na especificação.</w:t>
      </w:r>
    </w:p>
    <w:p>
      <w:pPr>
        <w:pStyle w:val="Heading1"/>
      </w:pPr>
      <w:r>
        <w:t>P-010 — Geração do ícone SellCie</w:t>
      </w:r>
    </w:p>
    <w:p>
      <w:r>
        <w:t>Status: UTILIZADO</w:t>
      </w:r>
    </w:p>
    <w:p>
      <w:r>
        <w:t>Objetivo: criar um ícone de launcher reconhecível para o SellCie, comunicando ingresso e confirmação de pagamento, sem texto, marca de terceiros ou dados sensíveis.</w:t>
      </w:r>
    </w:p>
    <w:p>
      <w:pPr>
        <w:pStyle w:val="Heading2"/>
      </w:pPr>
      <w:r>
        <w:t>Prompt</w:t>
      </w:r>
    </w:p>
    <w:p>
      <w:r>
        <w:t>Use case: logo-brand</w:t>
        <w:br/>
        <w:t>Asset type: Android launcher icon for the SellCie event-ticketing app.</w:t>
        <w:br/>
        <w:t>Primary request: Create a clean, premium, recognizable app icon: a simplified ticket with a small checkmark integrated into its center, conveying successful ticket sales and payment confirmation.</w:t>
        <w:br/>
        <w:t>Style/medium: polished flat vector-inspired digital illustration, suitable for a launcher icon.</w:t>
        <w:br/>
        <w:t>Composition/framing: centered symbol, balanced with generous padding, no tiny details.</w:t>
        <w:br/>
        <w:t>Color palette: deep Cielo-inspired blue with bright cyan accents and a restrained white highlight.</w:t>
        <w:br/>
        <w:t>Background: genuinely transparent.</w:t>
        <w:br/>
        <w:t>Text: none.</w:t>
        <w:br/>
        <w:t>Constraints: crisp edges, strong silhouette at small sizes, no gradient-heavy background, no photorealism, no mockup, no watermark, no brand logos other than the abstract SellCie symbol.</w:t>
      </w:r>
    </w:p>
    <w:p>
      <w:r>
        <w:t>Registro: aplicado em 28/08/2026. A imagem final possui fundo transparente e foi convertida para PNG em mdpi, hdpi, xhdpi, xxhdpi e xxxhdpi; o nome exibido foi alterado para SellCie. Validações: inspeção visual do ícone em xxxhdpi, verificação das variantes de launcher, git diff --check e build offline :app:assembleDebug aprovado. Nenhuma rede, conta, credencial ou dado de pagamento foi utilizado pelo aplicativo.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66666"/>
        <w:sz w:val="17"/>
      </w:rPr>
      <w:t xml:space="preserve">Uso local para estudo  |  Página </w:t>
    </w:r>
    <w:r>
      <w:fldChar w:fldCharType="begin"/>
      <w:instrText xml:space="preserve">PAGE</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6666"/>
        <w:sz w:val="17"/>
      </w:rPr>
      <w:t>PLANEJAMENTO LOCAL  |  APP DE INGRESSOS ANDROID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0">
    <w:multiLevelType w:val="singleLevel"/>
  </w:abstractNum>
  <w:num w:numId="90">
    <w:abstractNumId w:val="90"/>
  </w:num>
  <w:abstractNum w:abstractNumId="91">
    <w:multiLevelType w:val="singleLevel"/>
  </w:abstractNum>
  <w:num w:numId="91">
    <w:abstractNumId w:val="91"/>
  </w:num>
  <w:abstractNum w:abstractNumId="92">
    <w:multiLevelType w:val="singleLevel"/>
  </w:abstractNum>
  <w:num w:numId="92">
    <w:abstractNumId w:val="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 Prompts de IA — App de Venda de Ingressos</dc:title>
  <dc:subject>Rastreabilidade local de prompts do projeto</dc:subject>
  <dc:creator>Codex — documentação local</dc:creator>
  <cp:keywords/>
  <dc:description>Registro de prompts de trabalho; não contém segredos ou instruções internas.</dc:description>
  <cp:lastModifiedBy/>
  <cp:revision>1</cp:revision>
  <dcterms:created xsi:type="dcterms:W3CDTF">2013-12-23T23:15:00Z</dcterms:created>
  <dcterms:modified xsi:type="dcterms:W3CDTF">2013-12-23T23:15:00Z</dcterms:modified>
  <cp:category/>
</cp:coreProperties>
</file>