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7545F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0" w:name="预习报告"/>
      <w:r>
        <w:rPr>
          <w:rFonts w:hint="eastAsia"/>
        </w:rPr>
        <w:t>预习报告</w:t>
      </w:r>
    </w:p>
    <w:p w14:paraId="2BA5B6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实验题目：简单函数绘图语言语法分析器的设计与实现</w:t>
      </w:r>
    </w:p>
    <w:p w14:paraId="00C9D1F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1" w:name="一实验目的"/>
      <w:r>
        <w:rPr>
          <w:rFonts w:hint="eastAsia"/>
        </w:rPr>
        <w:t>一、实验目的</w:t>
      </w:r>
    </w:p>
    <w:p w14:paraId="7ED1F569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理解语法分析在编译系统中的作用，明确其输入为词法分析器输出的</w:t>
      </w:r>
      <w:r>
        <w:t xml:space="preserve"> Token </w:t>
      </w:r>
      <w:r>
        <w:rPr>
          <w:rFonts w:hint="eastAsia"/>
        </w:rPr>
        <w:t>序列，输出为语法正确性判断或语法树结构。</w:t>
      </w:r>
    </w:p>
    <w:p w14:paraId="614366F4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掌握上下文无关文法（CFG）的设计方法，能够针</w:t>
      </w:r>
      <w:bookmarkStart w:id="7" w:name="_GoBack"/>
      <w:bookmarkEnd w:id="7"/>
      <w:r>
        <w:rPr>
          <w:rFonts w:hint="eastAsia"/>
        </w:rPr>
        <w:t>对函数定义与绘图指令建立无二义性的语法规则。</w:t>
      </w:r>
    </w:p>
    <w:p w14:paraId="50A6D3EB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掌握递归下降分析法的基本思想，建立“非终结符</w:t>
      </w:r>
      <w:r>
        <w:t xml:space="preserve"> - </w:t>
      </w:r>
      <w:r>
        <w:rPr>
          <w:rFonts w:hint="eastAsia"/>
        </w:rPr>
        <w:t>递归函数”一一对应关系。</w:t>
      </w:r>
    </w:p>
    <w:p w14:paraId="31E61509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学会在语法分析阶段处理运算符优先级与结合性，保证表达式分析结果正确。</w:t>
      </w:r>
    </w:p>
    <w:p w14:paraId="3D9FA7A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具备基础语法错误检测能力，能够对缺少分号、括号不匹配、关键字误用等错误给出清晰提示。</w:t>
      </w:r>
    </w:p>
    <w:bookmarkEnd w:id="1"/>
    <w:p w14:paraId="6B0DD3F8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2" w:name="二实验原理"/>
      <w:r>
        <w:rPr>
          <w:rFonts w:hint="eastAsia"/>
        </w:rPr>
        <w:t>二、实验原理</w:t>
      </w:r>
    </w:p>
    <w:p w14:paraId="385380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语法分析是编译过程第二阶段。词法分析将字符流转为</w:t>
      </w:r>
      <w:r>
        <w:t xml:space="preserve"> Token </w:t>
      </w:r>
      <w:r>
        <w:rPr>
          <w:rFonts w:hint="eastAsia"/>
        </w:rPr>
        <w:t>序列，语法分析根据</w:t>
      </w:r>
      <w:r>
        <w:t xml:space="preserve"> CFG </w:t>
      </w:r>
      <w:r>
        <w:rPr>
          <w:rFonts w:hint="eastAsia"/>
        </w:rPr>
        <w:t>判断</w:t>
      </w:r>
      <w:r>
        <w:t xml:space="preserve"> Token </w:t>
      </w:r>
      <w:r>
        <w:rPr>
          <w:rFonts w:hint="eastAsia"/>
        </w:rPr>
        <w:t>序列是否满足语言语法规则，并在需要时构建抽象语法树（AST）。</w:t>
      </w:r>
    </w:p>
    <w:p w14:paraId="101106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本实验采用自顶向下的递归下降方法，核心原理如下：</w:t>
      </w:r>
    </w:p>
    <w:p w14:paraId="6B26C237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文法分层</w:t>
      </w:r>
      <w:r>
        <w:rPr>
          <w:rFonts w:hint="eastAsia"/>
        </w:rPr>
        <w:t>：将表达式文法按照优先级分层设计为</w:t>
      </w:r>
      <w:r>
        <w:t xml:space="preserve"> </w:t>
      </w:r>
      <w:r>
        <w:rPr>
          <w:rFonts w:hint="eastAsia"/>
        </w:rPr>
        <w:t>Expr（加减）、Term（乘除）、Factor（幂）、Atom（原子项），避免歧义并消除左递归。</w:t>
      </w:r>
    </w:p>
    <w:p w14:paraId="1CF7865B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函数映射</w:t>
      </w:r>
      <w:r>
        <w:rPr>
          <w:rFonts w:hint="eastAsia"/>
        </w:rPr>
        <w:t>：每个非终结符对应一个解析函数，例如</w:t>
      </w:r>
      <w:r>
        <w:t xml:space="preserve"> Program </w:t>
      </w:r>
      <w:r>
        <w:rPr>
          <w:rFonts w:hint="eastAsia"/>
        </w:rPr>
        <w:t>对应</w:t>
      </w:r>
      <w:r>
        <w:t xml:space="preserve"> parse_program()</w:t>
      </w:r>
      <w:r>
        <w:rPr>
          <w:rFonts w:hint="eastAsia"/>
        </w:rPr>
        <w:t>，Expr</w:t>
      </w:r>
      <w:r>
        <w:t xml:space="preserve"> </w:t>
      </w:r>
      <w:r>
        <w:rPr>
          <w:rFonts w:hint="eastAsia"/>
        </w:rPr>
        <w:t>对应</w:t>
      </w:r>
      <w:r>
        <w:t xml:space="preserve"> parse_expr()。</w:t>
      </w:r>
    </w:p>
    <w:p w14:paraId="62467CE1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单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>前瞻</w:t>
      </w:r>
      <w:r>
        <w:rPr>
          <w:rFonts w:hint="eastAsia"/>
        </w:rPr>
        <w:t>：使用</w:t>
      </w:r>
      <w:r>
        <w:t xml:space="preserve"> current_token </w:t>
      </w:r>
      <w:r>
        <w:rPr>
          <w:rFonts w:hint="eastAsia"/>
        </w:rPr>
        <w:t>保存当前输入符号，通过</w:t>
      </w:r>
      <w:r>
        <w:t xml:space="preserve"> advance() </w:t>
      </w:r>
      <w:r>
        <w:rPr>
          <w:rFonts w:hint="eastAsia"/>
        </w:rPr>
        <w:t>向前读取下一个</w:t>
      </w:r>
      <w:r>
        <w:t xml:space="preserve"> Token。</w:t>
      </w:r>
    </w:p>
    <w:p w14:paraId="656EE90B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匹配机制</w:t>
      </w:r>
      <w:r>
        <w:rPr>
          <w:rFonts w:hint="eastAsia"/>
        </w:rPr>
        <w:t>：通过</w:t>
      </w:r>
      <w:r>
        <w:t xml:space="preserve"> eat(expected_type, expected_value) </w:t>
      </w:r>
      <w:r>
        <w:rPr>
          <w:rFonts w:hint="eastAsia"/>
        </w:rPr>
        <w:t>校验当前</w:t>
      </w:r>
      <w:r>
        <w:t xml:space="preserve"> Token </w:t>
      </w:r>
      <w:r>
        <w:rPr>
          <w:rFonts w:hint="eastAsia"/>
        </w:rPr>
        <w:t>是否符合期望；不符合时立即抛出语法错误。</w:t>
      </w:r>
    </w:p>
    <w:p w14:paraId="5EB1E33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错误定位</w:t>
      </w:r>
      <w:r>
        <w:rPr>
          <w:rFonts w:hint="eastAsia"/>
        </w:rPr>
        <w:t>：在错误信息中记录当前位置、期望符号与实际符号，便于调试。</w:t>
      </w:r>
    </w:p>
    <w:bookmarkEnd w:id="2"/>
    <w:p w14:paraId="5D196F66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3" w:name="三语法规则与上下文无关文法设计"/>
      <w:r>
        <w:rPr>
          <w:rFonts w:hint="eastAsia"/>
        </w:rPr>
        <w:t>三、语法规则与上下文无关文法设计</w:t>
      </w:r>
    </w:p>
    <w:p w14:paraId="19F05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根据实验任务，目标语言语法如下：</w:t>
      </w:r>
    </w:p>
    <w:p w14:paraId="130FC25E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程序由若干语句组成，每条语句后以分号结束。</w:t>
      </w:r>
    </w:p>
    <w:p w14:paraId="386014CC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语句支持两类：函数定义语句和绘图语句。</w:t>
      </w:r>
    </w:p>
    <w:p w14:paraId="5102F8D1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函数定义格式：</w:t>
      </w:r>
      <w:r>
        <w:t>func f(x) = x^2 + 1</w:t>
      </w:r>
    </w:p>
    <w:p w14:paraId="138548AE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绘图语句格式：</w:t>
      </w:r>
      <w:r>
        <w:t>plot f(x) range [0, 10]</w:t>
      </w:r>
    </w:p>
    <w:p w14:paraId="5AB2F4DD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表达式支持</w:t>
      </w:r>
      <w:r>
        <w:t xml:space="preserve"> + - * / ^ </w:t>
      </w:r>
      <w:r>
        <w:rPr>
          <w:rFonts w:hint="eastAsia"/>
        </w:rPr>
        <w:t>和括号。</w:t>
      </w:r>
    </w:p>
    <w:p w14:paraId="423BA9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CFG（无左递归）如下：</w:t>
      </w:r>
    </w:p>
    <w:p w14:paraId="59FE9CD6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Program -&gt; StmtList EOF</w:t>
      </w:r>
    </w:p>
    <w:p w14:paraId="39060827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StmtList -&gt; Stmt ; StmtList | epsilon</w:t>
      </w:r>
    </w:p>
    <w:p w14:paraId="62EDD232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Stmt -&gt; FuncDef | PlotStmt</w:t>
      </w:r>
    </w:p>
    <w:p w14:paraId="59C3EE80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FuncDef -&gt; KEYWORD(func) IDENTIFIER LPAREN IDENTIFIER RPAREN OPERATOR(=) Expr</w:t>
      </w:r>
    </w:p>
    <w:p w14:paraId="4B9C79C5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PlotStmt -&gt; KEYWORD(plot) IDENTIFIER LPAREN IDENTIFIER RPAREN KEYWORD(range) LBRACKET Number COMMA Number RBRACKET</w:t>
      </w:r>
    </w:p>
    <w:p w14:paraId="23BBB400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Expr -&gt; Term Expr'</w:t>
      </w:r>
    </w:p>
    <w:p w14:paraId="3FDD14A5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Expr' -&gt; + Term Expr' | - Term Expr' | epsilon</w:t>
      </w:r>
    </w:p>
    <w:p w14:paraId="7AA8CBD1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Term -&gt; Factor Term'</w:t>
      </w:r>
    </w:p>
    <w:p w14:paraId="3830F6BC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Term' -&gt; * Factor Term' | / Factor Term' | epsilon</w:t>
      </w:r>
    </w:p>
    <w:p w14:paraId="318225EA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Factor -&gt; Atom ^ Factor | Atom</w:t>
      </w:r>
    </w:p>
    <w:p w14:paraId="3C986BE9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Atom -&gt; IDENTIFIER | Number | LPAREN Expr RPAREN</w:t>
      </w:r>
    </w:p>
    <w:p w14:paraId="515145CD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Number -&gt; INTEGER | FLOAT</w:t>
      </w:r>
    </w:p>
    <w:p w14:paraId="3AE00A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说明：</w:t>
      </w:r>
    </w:p>
    <w:p w14:paraId="49934EC8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Expr' </w:t>
      </w:r>
      <w:r>
        <w:rPr>
          <w:rFonts w:hint="eastAsia"/>
        </w:rPr>
        <w:t>和</w:t>
      </w:r>
      <w:r>
        <w:t xml:space="preserve"> Term' </w:t>
      </w:r>
      <w:r>
        <w:rPr>
          <w:rFonts w:hint="eastAsia"/>
        </w:rPr>
        <w:t>使加减、乘除具备左结合特性。</w:t>
      </w:r>
    </w:p>
    <w:p w14:paraId="4927D059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Factor -&gt; Atom ^ Factor </w:t>
      </w:r>
      <w:r>
        <w:rPr>
          <w:rFonts w:hint="eastAsia"/>
        </w:rPr>
        <w:t>使幂运算具备右结合特性。</w:t>
      </w:r>
    </w:p>
    <w:p w14:paraId="349B7348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StmtList </w:t>
      </w:r>
      <w:r>
        <w:rPr>
          <w:rFonts w:hint="eastAsia"/>
        </w:rPr>
        <w:t>使用递归形式表达“语句序列”。</w:t>
      </w:r>
    </w:p>
    <w:bookmarkEnd w:id="3"/>
    <w:p w14:paraId="0C73330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4" w:name="四算法设计预习"/>
      <w:r>
        <w:rPr>
          <w:rFonts w:hint="eastAsia"/>
        </w:rPr>
        <w:t>四、算法设计（预习）</w:t>
      </w:r>
    </w:p>
    <w:p w14:paraId="32382EE7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核心数据结构</w:t>
      </w:r>
    </w:p>
    <w:p w14:paraId="1E8AFAD2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Token(type, value, pos)</w:t>
      </w:r>
      <w:r>
        <w:rPr>
          <w:rFonts w:hint="eastAsia"/>
        </w:rPr>
        <w:t>：记录类型、词素和值位置。</w:t>
      </w:r>
    </w:p>
    <w:p w14:paraId="59501802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ASTNode(kind, value, children)</w:t>
      </w:r>
      <w:r>
        <w:rPr>
          <w:rFonts w:hint="eastAsia"/>
        </w:rPr>
        <w:t>：统一表示语法树结点。</w:t>
      </w:r>
    </w:p>
    <w:p w14:paraId="34A62417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语法分析器接口</w:t>
      </w:r>
    </w:p>
    <w:p w14:paraId="0BE77FF7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Parser(lexer)</w:t>
      </w:r>
      <w:r>
        <w:rPr>
          <w:rFonts w:hint="eastAsia"/>
        </w:rPr>
        <w:t>：接收词法分析器实例。</w:t>
      </w:r>
    </w:p>
    <w:p w14:paraId="295F97D1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parse()</w:t>
      </w:r>
      <w:r>
        <w:rPr>
          <w:rFonts w:hint="eastAsia"/>
        </w:rPr>
        <w:t>：入口函数，调用</w:t>
      </w:r>
      <w:r>
        <w:t xml:space="preserve"> parse_program()。</w:t>
      </w:r>
    </w:p>
    <w:p w14:paraId="5BD65249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关键函数设计</w:t>
      </w:r>
    </w:p>
    <w:p w14:paraId="0B5A8E73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parse_program()</w:t>
      </w:r>
      <w:r>
        <w:rPr>
          <w:rFonts w:hint="eastAsia"/>
        </w:rPr>
        <w:t>：循环读取语句直到</w:t>
      </w:r>
      <w:r>
        <w:t xml:space="preserve"> EOF。</w:t>
      </w:r>
    </w:p>
    <w:p w14:paraId="4F32B47C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parse_stmt()</w:t>
      </w:r>
      <w:r>
        <w:rPr>
          <w:rFonts w:hint="eastAsia"/>
        </w:rPr>
        <w:t>：根据关键字分派到函数定义或绘图指令。</w:t>
      </w:r>
    </w:p>
    <w:p w14:paraId="7E43CA2D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parse_expr()/parse_term()/parse_factor()/parse_atom()</w:t>
      </w:r>
      <w:r>
        <w:rPr>
          <w:rFonts w:hint="eastAsia"/>
        </w:rPr>
        <w:t>：按优先级解析表达式。</w:t>
      </w:r>
    </w:p>
    <w:p w14:paraId="317B2D53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eat()</w:t>
      </w:r>
      <w:r>
        <w:rPr>
          <w:rFonts w:hint="eastAsia"/>
        </w:rPr>
        <w:t>：进行严格匹配，失败立即报错。</w:t>
      </w:r>
    </w:p>
    <w:p w14:paraId="3EB32D7A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错误处理策略</w:t>
      </w:r>
    </w:p>
    <w:p w14:paraId="238ED40E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缺少分号：在</w:t>
      </w:r>
      <w:r>
        <w:t xml:space="preserve"> parse_stmt_list() </w:t>
      </w:r>
      <w:r>
        <w:rPr>
          <w:rFonts w:hint="eastAsia"/>
        </w:rPr>
        <w:t>中检测并提示“期望</w:t>
      </w:r>
      <w:r>
        <w:t xml:space="preserve"> ';'”。</w:t>
      </w:r>
    </w:p>
    <w:p w14:paraId="2EC9D963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括号不匹配：在</w:t>
      </w:r>
      <w:r>
        <w:t xml:space="preserve"> parse_atom() </w:t>
      </w:r>
      <w:r>
        <w:rPr>
          <w:rFonts w:hint="eastAsia"/>
        </w:rPr>
        <w:t>中检测</w:t>
      </w:r>
      <w:r>
        <w:t xml:space="preserve"> ( </w:t>
      </w:r>
      <w:r>
        <w:rPr>
          <w:rFonts w:hint="eastAsia"/>
        </w:rPr>
        <w:t>后是否存在对应</w:t>
      </w:r>
      <w:r>
        <w:t xml:space="preserve"> )。</w:t>
      </w:r>
    </w:p>
    <w:p w14:paraId="2DD16EDC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关键字误用：在</w:t>
      </w:r>
      <w:r>
        <w:t xml:space="preserve"> parse_stmt() </w:t>
      </w:r>
      <w:r>
        <w:rPr>
          <w:rFonts w:hint="eastAsia"/>
        </w:rPr>
        <w:t>中检测非法语句起始符。</w:t>
      </w:r>
    </w:p>
    <w:p w14:paraId="70959126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语法树输出方案</w:t>
      </w:r>
    </w:p>
    <w:p w14:paraId="5EDB549F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使用层次缩进文本输出</w:t>
      </w:r>
      <w:r>
        <w:t xml:space="preserve"> </w:t>
      </w:r>
      <w:r>
        <w:rPr>
          <w:rFonts w:hint="eastAsia"/>
        </w:rPr>
        <w:t>AST，便于在终端中观察。</w:t>
      </w:r>
    </w:p>
    <w:p w14:paraId="653088D7">
      <w:pPr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示例：Program</w:t>
      </w:r>
      <w:r>
        <w:t xml:space="preserve"> -&gt; FuncDef -&gt; Expr -&gt; Term ...</w:t>
      </w:r>
    </w:p>
    <w:bookmarkEnd w:id="4"/>
    <w:p w14:paraId="03980A0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5" w:name="五预期测试方案"/>
      <w:r>
        <w:rPr>
          <w:rFonts w:hint="eastAsia"/>
        </w:rPr>
        <w:t>五、预期测试方案</w:t>
      </w:r>
    </w:p>
    <w:p w14:paraId="154EF7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计划使用至少</w:t>
      </w:r>
      <w:r>
        <w:t xml:space="preserve"> 5 </w:t>
      </w:r>
      <w:r>
        <w:rPr>
          <w:rFonts w:hint="eastAsia"/>
        </w:rPr>
        <w:t>组测试数据：</w:t>
      </w:r>
    </w:p>
    <w:p w14:paraId="68154BD4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合法：单个函数定义。</w:t>
      </w:r>
    </w:p>
    <w:p w14:paraId="5E569D8B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合法：函数定义</w:t>
      </w:r>
      <w:r>
        <w:t xml:space="preserve"> + </w:t>
      </w:r>
      <w:r>
        <w:rPr>
          <w:rFonts w:hint="eastAsia"/>
        </w:rPr>
        <w:t>绘图语句组合程序。</w:t>
      </w:r>
    </w:p>
    <w:p w14:paraId="35DBDCFE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合法：包含括号与幂运算的复杂表达式。</w:t>
      </w:r>
    </w:p>
    <w:p w14:paraId="111CB089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非法：缺少分号。</w:t>
      </w:r>
    </w:p>
    <w:p w14:paraId="113F6B30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非法：绘图语句缺少右方括号或关键字拼写错误。</w:t>
      </w:r>
    </w:p>
    <w:p w14:paraId="2EBAF8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预期结果：</w:t>
      </w:r>
    </w:p>
    <w:p w14:paraId="50D34665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合法输入能够完整输出语法树。</w:t>
      </w:r>
    </w:p>
    <w:p w14:paraId="1628D097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非法输入能够抛出带位置信息的</w:t>
      </w:r>
      <w:r>
        <w:t xml:space="preserve"> SyntaxError</w:t>
      </w:r>
      <w:r>
        <w:rPr>
          <w:rFonts w:hint="eastAsia"/>
        </w:rPr>
        <w:t>，并指明“期望/实际”符号。</w:t>
      </w:r>
    </w:p>
    <w:bookmarkEnd w:id="5"/>
    <w:p w14:paraId="29C4F81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6" w:name="六预习总结"/>
      <w:r>
        <w:rPr>
          <w:rFonts w:hint="eastAsia"/>
        </w:rPr>
        <w:t>六、预习总结</w:t>
      </w:r>
    </w:p>
    <w:p w14:paraId="01465F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通过本次预习，已完成实验二语法设计与解析框架规划，明确了表达式优先级处理方法和错误检测点。后续实现阶段将以该</w:t>
      </w:r>
      <w:r>
        <w:t xml:space="preserve"> CFG </w:t>
      </w:r>
      <w:r>
        <w:rPr>
          <w:rFonts w:hint="eastAsia"/>
        </w:rPr>
        <w:t>为依据完成</w:t>
      </w:r>
      <w:r>
        <w:t xml:space="preserve"> Parser </w:t>
      </w:r>
      <w:r>
        <w:rPr>
          <w:rFonts w:hint="eastAsia"/>
        </w:rPr>
        <w:t>编码、词法衔接与系统测试，确保实验结果满足正确性和鲁棒性要求。</w:t>
      </w:r>
    </w:p>
    <w:bookmarkEnd w:id="0"/>
    <w:bookmarkEnd w:id="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555D9"/>
    <w:rsid w:val="038D209C"/>
    <w:rsid w:val="07EF46DA"/>
    <w:rsid w:val="11036B00"/>
    <w:rsid w:val="1E5356D6"/>
    <w:rsid w:val="1F5555D9"/>
    <w:rsid w:val="2445265D"/>
    <w:rsid w:val="252C0373"/>
    <w:rsid w:val="336E5F6C"/>
    <w:rsid w:val="38D2141C"/>
    <w:rsid w:val="3BF6364C"/>
    <w:rsid w:val="44772A0F"/>
    <w:rsid w:val="534C78B7"/>
    <w:rsid w:val="61EE78C0"/>
    <w:rsid w:val="73B821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黑体"/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8"/>
    </w:rPr>
  </w:style>
  <w:style w:type="character" w:default="1" w:styleId="9">
    <w:name w:val="Default Paragraph Font"/>
    <w:qFormat/>
    <w:uiPriority w:val="0"/>
    <w:rPr>
      <w:rFonts w:ascii="Calibri" w:hAnsi="Calibri" w:eastAsia="仿宋"/>
    </w:rPr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Source Code"/>
    <w:qFormat/>
    <w:uiPriority w:val="0"/>
    <w:pPr>
      <w:wordWrap w:val="0"/>
    </w:pPr>
    <w:rPr>
      <w:rFonts w:asciiTheme="minorHAnsi" w:hAnsiTheme="minorHAnsi" w:eastAsiaTheme="minorEastAsia" w:cstheme="minorBidi"/>
    </w:rPr>
  </w:style>
  <w:style w:type="character" w:customStyle="1" w:styleId="11">
    <w:name w:val="KeywordTok"/>
    <w:qFormat/>
    <w:uiPriority w:val="0"/>
    <w:rPr>
      <w:b/>
      <w:color w:val="007020"/>
    </w:rPr>
  </w:style>
  <w:style w:type="character" w:customStyle="1" w:styleId="12">
    <w:name w:val="DataTypeTok"/>
    <w:qFormat/>
    <w:uiPriority w:val="0"/>
    <w:rPr>
      <w:color w:val="902000"/>
    </w:rPr>
  </w:style>
  <w:style w:type="character" w:customStyle="1" w:styleId="13">
    <w:name w:val="DecValTok"/>
    <w:qFormat/>
    <w:uiPriority w:val="0"/>
    <w:rPr>
      <w:color w:val="40A070"/>
    </w:rPr>
  </w:style>
  <w:style w:type="character" w:customStyle="1" w:styleId="14">
    <w:name w:val="BaseNTok"/>
    <w:qFormat/>
    <w:uiPriority w:val="0"/>
    <w:rPr>
      <w:color w:val="40A070"/>
    </w:rPr>
  </w:style>
  <w:style w:type="character" w:customStyle="1" w:styleId="15">
    <w:name w:val="FloatTok"/>
    <w:uiPriority w:val="0"/>
    <w:rPr>
      <w:color w:val="40A070"/>
    </w:rPr>
  </w:style>
  <w:style w:type="character" w:customStyle="1" w:styleId="16">
    <w:name w:val="ConstantTok"/>
    <w:uiPriority w:val="0"/>
    <w:rPr>
      <w:color w:val="880000"/>
    </w:rPr>
  </w:style>
  <w:style w:type="character" w:customStyle="1" w:styleId="17">
    <w:name w:val="CharTok"/>
    <w:uiPriority w:val="0"/>
    <w:rPr>
      <w:color w:val="4070A0"/>
    </w:rPr>
  </w:style>
  <w:style w:type="character" w:customStyle="1" w:styleId="18">
    <w:name w:val="SpecialCharTok"/>
    <w:uiPriority w:val="0"/>
    <w:rPr>
      <w:color w:val="4070A0"/>
    </w:rPr>
  </w:style>
  <w:style w:type="character" w:customStyle="1" w:styleId="19">
    <w:name w:val="StringTok"/>
    <w:uiPriority w:val="0"/>
    <w:rPr>
      <w:color w:val="4070A0"/>
    </w:rPr>
  </w:style>
  <w:style w:type="character" w:customStyle="1" w:styleId="20">
    <w:name w:val="VerbatimStringTok"/>
    <w:uiPriority w:val="0"/>
    <w:rPr>
      <w:color w:val="4070A0"/>
    </w:rPr>
  </w:style>
  <w:style w:type="character" w:customStyle="1" w:styleId="21">
    <w:name w:val="SpecialStringTok"/>
    <w:uiPriority w:val="0"/>
    <w:rPr>
      <w:color w:val="BB6688"/>
    </w:rPr>
  </w:style>
  <w:style w:type="character" w:customStyle="1" w:styleId="22">
    <w:name w:val="ImportTok"/>
    <w:uiPriority w:val="0"/>
    <w:rPr>
      <w:b/>
      <w:color w:val="008000"/>
    </w:rPr>
  </w:style>
  <w:style w:type="character" w:customStyle="1" w:styleId="23">
    <w:name w:val="CommentTok"/>
    <w:uiPriority w:val="0"/>
    <w:rPr>
      <w:i/>
      <w:color w:val="60A0B0"/>
    </w:rPr>
  </w:style>
  <w:style w:type="character" w:customStyle="1" w:styleId="24">
    <w:name w:val="DocumentationTok"/>
    <w:uiPriority w:val="0"/>
    <w:rPr>
      <w:i/>
      <w:color w:val="BA2121"/>
    </w:rPr>
  </w:style>
  <w:style w:type="character" w:customStyle="1" w:styleId="25">
    <w:name w:val="AnnotationTok"/>
    <w:uiPriority w:val="0"/>
    <w:rPr>
      <w:b/>
      <w:i/>
      <w:color w:val="60A0B0"/>
    </w:rPr>
  </w:style>
  <w:style w:type="character" w:customStyle="1" w:styleId="26">
    <w:name w:val="CommentVarTok"/>
    <w:uiPriority w:val="0"/>
    <w:rPr>
      <w:b/>
      <w:i/>
      <w:color w:val="60A0B0"/>
    </w:rPr>
  </w:style>
  <w:style w:type="character" w:customStyle="1" w:styleId="27">
    <w:name w:val="OtherTok"/>
    <w:uiPriority w:val="0"/>
    <w:rPr>
      <w:color w:val="007020"/>
    </w:rPr>
  </w:style>
  <w:style w:type="character" w:customStyle="1" w:styleId="28">
    <w:name w:val="FunctionTok"/>
    <w:uiPriority w:val="0"/>
    <w:rPr>
      <w:color w:val="06287E"/>
    </w:rPr>
  </w:style>
  <w:style w:type="character" w:customStyle="1" w:styleId="29">
    <w:name w:val="VariableTok"/>
    <w:uiPriority w:val="0"/>
    <w:rPr>
      <w:color w:val="19177C"/>
    </w:rPr>
  </w:style>
  <w:style w:type="character" w:customStyle="1" w:styleId="30">
    <w:name w:val="ControlFlowTok"/>
    <w:uiPriority w:val="0"/>
    <w:rPr>
      <w:b/>
      <w:color w:val="007020"/>
    </w:rPr>
  </w:style>
  <w:style w:type="character" w:customStyle="1" w:styleId="31">
    <w:name w:val="OperatorTok"/>
    <w:uiPriority w:val="0"/>
    <w:rPr>
      <w:color w:val="666666"/>
    </w:rPr>
  </w:style>
  <w:style w:type="character" w:customStyle="1" w:styleId="32">
    <w:name w:val="BuiltInTok"/>
    <w:uiPriority w:val="0"/>
    <w:rPr>
      <w:color w:val="008000"/>
    </w:rPr>
  </w:style>
  <w:style w:type="character" w:customStyle="1" w:styleId="33">
    <w:name w:val="ExtensionTok"/>
    <w:uiPriority w:val="0"/>
  </w:style>
  <w:style w:type="character" w:customStyle="1" w:styleId="34">
    <w:name w:val="PreprocessorTok"/>
    <w:uiPriority w:val="0"/>
    <w:rPr>
      <w:color w:val="BC7A00"/>
    </w:rPr>
  </w:style>
  <w:style w:type="character" w:customStyle="1" w:styleId="35">
    <w:name w:val="AttributeTok"/>
    <w:uiPriority w:val="0"/>
    <w:rPr>
      <w:color w:val="7D9029"/>
    </w:rPr>
  </w:style>
  <w:style w:type="character" w:customStyle="1" w:styleId="36">
    <w:name w:val="RegionMarkerTok"/>
    <w:uiPriority w:val="0"/>
  </w:style>
  <w:style w:type="character" w:customStyle="1" w:styleId="37">
    <w:name w:val="InformationTok"/>
    <w:uiPriority w:val="0"/>
    <w:rPr>
      <w:b/>
      <w:i/>
      <w:color w:val="60A0B0"/>
    </w:rPr>
  </w:style>
  <w:style w:type="character" w:customStyle="1" w:styleId="38">
    <w:name w:val="WarningTok"/>
    <w:uiPriority w:val="0"/>
    <w:rPr>
      <w:b/>
      <w:i/>
      <w:color w:val="60A0B0"/>
    </w:rPr>
  </w:style>
  <w:style w:type="character" w:customStyle="1" w:styleId="39">
    <w:name w:val="AlertTok"/>
    <w:uiPriority w:val="0"/>
    <w:rPr>
      <w:b/>
      <w:color w:val="FF0000"/>
    </w:rPr>
  </w:style>
  <w:style w:type="character" w:customStyle="1" w:styleId="40">
    <w:name w:val="ErrorTok"/>
    <w:uiPriority w:val="0"/>
    <w:rPr>
      <w:b/>
      <w:color w:val="FF0000"/>
    </w:rPr>
  </w:style>
  <w:style w:type="character" w:customStyle="1" w:styleId="41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2043</Characters>
  <Lines>0</Lines>
  <Paragraphs>0</Paragraphs>
  <TotalTime>4</TotalTime>
  <ScaleCrop>false</ScaleCrop>
  <LinksUpToDate>false</LinksUpToDate>
  <CharactersWithSpaces>2206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2026-05-17T15:11:00Z</dcterms:created>
  <dc:creator>是一匹好马</dc:creator>
  <cp:lastModifiedBy>是一匹好马</cp:lastModifiedBy>
  <dcterms:modified xsi:type="dcterms:W3CDTF">2026-05-17T15:14:16Z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eyJoZGlkIjoiNGYzNmQ5MDg0MDA1NWRmZWVjYWE0YzJhYTBmM2Y0YzUiLCJ1c2VySWQiOiIzNDU3NzI5MzEifQ==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DE928396A0474175B7F29276586591A6_12</vt:lpwstr>
  </property>
</Properties>
</file>