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TSS</w:t>
      </w:r>
      <w:r>
        <w:t xml:space="preserve"> </w:t>
      </w:r>
      <w:r>
        <w:t xml:space="preserve">VS.</w:t>
      </w:r>
      <w:r>
        <w:t xml:space="preserve"> </w:t>
      </w:r>
      <w:r>
        <w:t xml:space="preserve">TSS</w:t>
      </w:r>
      <w:r>
        <w:t xml:space="preserve"> </w:t>
      </w:r>
      <w:r>
        <w:t xml:space="preserve">(mg/L)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br/>
      </w:r>
      <w:r>
        <w:rPr>
          <w:rStyle w:val="VerbatimChar"/>
        </w:rPr>
        <w:t xml:space="preserve">This Analysis looks at the TSS variable in the waste water Data set. It finds a difference in behavior between the TSS data from the Dorms collection site and the MMSD collection sites.</w:t>
      </w:r>
      <w:r>
        <w:br/>
      </w:r>
      <w:r>
        <w:br/>
      </w:r>
      <w:r>
        <w:rPr>
          <w:rStyle w:val="VerbatimChar"/>
        </w:rPr>
        <w:t xml:space="preserve">The code was derrived from work by the DSI.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</w:p>
    <w:p>
      <w:pPr>
        <w:pStyle w:val="FirstParagraph"/>
      </w:pPr>
      <w:r>
        <w:t xml:space="preserve">TSS (mg/L):represents the TSS data in the Dorms. Correlates with Pct_BCoV.</w:t>
      </w:r>
    </w:p>
    <w:p>
      <w:pPr>
        <w:pStyle w:val="BodyText"/>
      </w:pPr>
      <w:r>
        <w:t xml:space="preserve">TSS: represents the TSS data in the five Madison Sites. Does not Correlate with Pct_BCoV.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SS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TSS VS. TSS (mg/L)</dc:title>
  <dc:creator>`Marlin derived from work by Brian Yandell</dc:creator>
  <cp:keywords/>
  <dcterms:created xsi:type="dcterms:W3CDTF">2021-01-29T05:32:08Z</dcterms:created>
  <dcterms:modified xsi:type="dcterms:W3CDTF">2021-01-29T05:32:08Z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