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Política de Privacidad</w:t>
      </w:r>
    </w:p>
    <w:p>
      <w:pPr>
        <w:spacing w:after="100"/>
        <w:jc w:val="center"/>
      </w:pPr>
      <w:r>
        <w:rPr>
          <w:i/>
          <w:iCs/>
        </w:rPr>
        <w:t xml:space="preserve">[NOMBRE DEL PRODUCTO/CRM] — un servicio de [NOMBRE DE LA EMPRESA / RAZÓN SOCIAL]</w:t>
      </w:r>
    </w:p>
    <w:p>
      <w:pPr>
        <w:spacing w:after="200"/>
        <w:jc w:val="center"/>
      </w:pPr>
      <w:r>
        <w:rPr>
          <w:i/>
          <w:iCs/>
          <w:sz w:val="20"/>
          <w:szCs w:val="20"/>
        </w:rPr>
        <w:t xml:space="preserve">Última actualización: [FECHA]</w:t>
      </w:r>
    </w:p>
    <w:p>
      <w:pPr>
        <w:pBdr>
          <w:top w:val="single" w:color="E0A800" w:sz="6"/>
          <w:bottom w:val="single" w:color="E0A800" w:sz="6"/>
          <w:left w:val="single" w:color="E0A800" w:sz="6"/>
          <w:right w:val="single" w:color="E0A800" w:sz="6"/>
        </w:pBdr>
        <w:shd w:fill="FFF3CD" w:val="clear"/>
        <w:spacing w:after="300" w:before="200"/>
      </w:pPr>
      <w:r>
        <w:rPr>
          <w:b/>
          <w:bCs/>
        </w:rPr>
        <w:t xml:space="preserve">AVISO IMPORTANTE — BORRADOR DE TRABAJO</w:t>
      </w:r>
      <w:r>
        <w:br/>
        <w:t xml:space="preserve">  Este documento es un punto de partida para discusión y NO constituye asesoría legal. Fue preparado por un asistente de IA a partir de una revisión de la Ley No. 172-13 sobre Protección de Datos Personales de República Dominicana, pero no sustituye la revisión de un abogado licenciado en el país antes de usarse con clientes reales. Los textos entre corchetes [ASÍ] deben completarse o confirmarse antes de publicar el documento.</w:t>
      </w:r>
    </w:p>
    <w:p>
      <w:pPr>
        <w:pStyle w:val="Heading1"/>
        <w:spacing w:after="150" w:before="300"/>
      </w:pPr>
      <w:r>
        <w:t xml:space="preserve">1. Alcance de esta política</w:t>
      </w:r>
    </w:p>
    <w:p>
      <w:pPr>
        <w:spacing w:after="150"/>
      </w:pPr>
      <w:r>
        <w:t xml:space="preserve">Esta Política de Privacidad describe cómo [NOMBRE DE LA EMPRESA] (el "Proveedor", "nosotros") recolecta, usa, almacena y protege los datos personales en el contexto de [NOMBRE DEL PRODUCTO] (el "Servicio"), conforme a la Ley No. 172-13 sobre Protección de Datos Personales de la República Dominicana.</w:t>
      </w:r>
    </w:p>
    <w:p>
      <w:pPr>
        <w:spacing w:after="150"/>
      </w:pPr>
      <w:r>
        <w:t xml:space="preserve">Esta política distingue dos categorías de titulares de datos:</w:t>
      </w:r>
    </w:p>
    <w:p>
      <w:pPr>
        <w:pStyle w:val="ListParagraph"/>
        <w:numPr>
          <w:ilvl w:val="0"/>
          <w:numId w:val="2"/>
        </w:numPr>
        <w:spacing w:after="80"/>
      </w:pPr>
      <w:r>
        <w:t xml:space="preserve">Los usuarios de la Agencia (administradores y agentes) que usan el Servicio directamente.</w:t>
      </w:r>
    </w:p>
    <w:p>
      <w:pPr>
        <w:pStyle w:val="ListParagraph"/>
        <w:numPr>
          <w:ilvl w:val="0"/>
          <w:numId w:val="2"/>
        </w:numPr>
        <w:spacing w:after="80"/>
      </w:pPr>
      <w:r>
        <w:t xml:space="preserve">Los contactos/leads/clientes de la Agencia, cuyos datos la Agencia ingresa o que llegan automáticamente a través de canales de mensajería conectados (WhatsApp, Instagram, Facebook).</w:t>
      </w:r>
    </w:p>
    <w:p>
      <w:pPr>
        <w:pStyle w:val="Heading1"/>
        <w:spacing w:after="150" w:before="300"/>
      </w:pPr>
      <w:r>
        <w:t xml:space="preserve">2. Responsable y encargado del tratamiento</w:t>
      </w:r>
    </w:p>
    <w:p>
      <w:pPr>
        <w:spacing w:after="150"/>
      </w:pPr>
      <w:r>
        <w:t xml:space="preserve">Para los datos de los usuarios de la Agencia (cuentas de acceso al Servicio), el Proveedor actúa como responsable del tratamiento.</w:t>
      </w:r>
    </w:p>
    <w:p>
      <w:pPr>
        <w:spacing w:after="150"/>
      </w:pPr>
      <w:r>
        <w:t xml:space="preserve">Para los datos de los contactos/leads/clientes que la Agencia gestiona dentro del Servicio, la Agencia actúa como responsable del tratamiento frente a esas personas, y el Proveedor actúa como encargado del tratamiento, procesando esos datos únicamente para prestar el Servicio y siguiendo las instrucciones de la Agencia.</w:t>
      </w:r>
    </w:p>
    <w:p>
      <w:pPr>
        <w:pStyle w:val="Heading1"/>
        <w:spacing w:after="150" w:before="300"/>
      </w:pPr>
      <w:r>
        <w:t xml:space="preserve">3. Datos que se recolectan</w:t>
      </w:r>
    </w:p>
    <w:p>
      <w:pPr>
        <w:pStyle w:val="Heading2"/>
        <w:spacing w:after="100" w:before="200"/>
      </w:pPr>
      <w:r>
        <w:t xml:space="preserve">3.1 De los usuarios de la Agencia</w:t>
      </w:r>
    </w:p>
    <w:p>
      <w:pPr>
        <w:pStyle w:val="ListParagraph"/>
        <w:numPr>
          <w:ilvl w:val="0"/>
          <w:numId w:val="2"/>
        </w:numPr>
        <w:spacing w:after="80"/>
      </w:pPr>
      <w:r>
        <w:t xml:space="preserve">Nombre, correo electrónico, teléfono, rol dentro de la Agencia.</w:t>
      </w:r>
    </w:p>
    <w:p>
      <w:pPr>
        <w:pStyle w:val="ListParagraph"/>
        <w:numPr>
          <w:ilvl w:val="0"/>
          <w:numId w:val="2"/>
        </w:numPr>
        <w:spacing w:after="80"/>
      </w:pPr>
      <w:r>
        <w:t xml:space="preserve">Credenciales de acceso (gestionadas de forma segura por el proveedor de autenticación, nunca en texto plano).</w:t>
      </w:r>
    </w:p>
    <w:p>
      <w:pPr>
        <w:pStyle w:val="ListParagraph"/>
        <w:numPr>
          <w:ilvl w:val="0"/>
          <w:numId w:val="2"/>
        </w:numPr>
        <w:spacing w:after="80"/>
      </w:pPr>
      <w:r>
        <w:t xml:space="preserve">Datos de facturación de la Agencia (a través del procesador de pagos).</w:t>
      </w:r>
    </w:p>
    <w:p>
      <w:pPr>
        <w:pStyle w:val="Heading2"/>
        <w:spacing w:after="100" w:before="200"/>
      </w:pPr>
      <w:r>
        <w:t xml:space="preserve">3.2 De los contactos/leads/clientes de la Agencia</w:t>
      </w:r>
    </w:p>
    <w:p>
      <w:pPr>
        <w:pStyle w:val="ListParagraph"/>
        <w:numPr>
          <w:ilvl w:val="0"/>
          <w:numId w:val="2"/>
        </w:numPr>
        <w:spacing w:after="80"/>
      </w:pPr>
      <w:r>
        <w:t xml:space="preserve">Nombre, teléfono, correo electrónico, tipo de interés (comprador/vendedor/arrendatario) y origen del contacto.</w:t>
      </w:r>
    </w:p>
    <w:p>
      <w:pPr>
        <w:pStyle w:val="ListParagraph"/>
        <w:numPr>
          <w:ilvl w:val="0"/>
          <w:numId w:val="2"/>
        </w:numPr>
        <w:spacing w:after="80"/>
      </w:pPr>
      <w:r>
        <w:t xml:space="preserve">Contenido de los mensajes intercambiados por WhatsApp, Instagram o Facebook Messenger cuando la Agencia conecta esos canales.</w:t>
      </w:r>
    </w:p>
    <w:p>
      <w:pPr>
        <w:pStyle w:val="ListParagraph"/>
        <w:numPr>
          <w:ilvl w:val="0"/>
          <w:numId w:val="2"/>
        </w:numPr>
        <w:spacing w:after="80"/>
      </w:pPr>
      <w:r>
        <w:t xml:space="preserve">Información sobre propiedades de interés y el historial de negociación asociado.</w:t>
      </w:r>
    </w:p>
    <w:p>
      <w:pPr>
        <w:spacing w:after="150"/>
      </w:pPr>
      <w:r>
        <w:t xml:space="preserve">El Servicio no está diseñado para recolectar categorías especiales de datos (salud, origen racial, orientación sexual, creencias religiosas, afiliación sindical, u otras consideradas sensibles por la Ley No. 172-13). La Agencia se compromete a no ingresar este tipo de información en el Servicio.</w:t>
      </w:r>
    </w:p>
    <w:p>
      <w:pPr>
        <w:pStyle w:val="Heading1"/>
        <w:spacing w:after="150" w:before="300"/>
      </w:pPr>
      <w:r>
        <w:t xml:space="preserve">4. Finalidad del tratamiento</w:t>
      </w:r>
    </w:p>
    <w:p>
      <w:pPr>
        <w:pStyle w:val="ListParagraph"/>
        <w:numPr>
          <w:ilvl w:val="0"/>
          <w:numId w:val="2"/>
        </w:numPr>
        <w:spacing w:after="80"/>
      </w:pPr>
      <w:r>
        <w:t xml:space="preserve">Permitir que la Agencia gestione sus contactos, propiedades y negociaciones.</w:t>
      </w:r>
    </w:p>
    <w:p>
      <w:pPr>
        <w:pStyle w:val="ListParagraph"/>
        <w:numPr>
          <w:ilvl w:val="0"/>
          <w:numId w:val="2"/>
        </w:numPr>
        <w:spacing w:after="80"/>
      </w:pPr>
      <w:r>
        <w:t xml:space="preserve">Permitir el envío y recepción de mensajes a través de los canales conectados (WhatsApp, Instagram, Facebook).</w:t>
      </w:r>
    </w:p>
    <w:p>
      <w:pPr>
        <w:pStyle w:val="ListParagraph"/>
        <w:numPr>
          <w:ilvl w:val="0"/>
          <w:numId w:val="2"/>
        </w:numPr>
        <w:spacing w:after="80"/>
      </w:pPr>
      <w:r>
        <w:t xml:space="preserve">Procesar pagos de la suscripción del Servicio.</w:t>
      </w:r>
    </w:p>
    <w:p>
      <w:pPr>
        <w:pStyle w:val="ListParagraph"/>
        <w:numPr>
          <w:ilvl w:val="0"/>
          <w:numId w:val="2"/>
        </w:numPr>
        <w:spacing w:after="80"/>
      </w:pPr>
      <w:r>
        <w:t xml:space="preserve">Brindar soporte técnico y mejorar el Servicio.</w:t>
      </w:r>
    </w:p>
    <w:p>
      <w:pPr>
        <w:pStyle w:val="ListParagraph"/>
        <w:numPr>
          <w:ilvl w:val="0"/>
          <w:numId w:val="2"/>
        </w:numPr>
        <w:spacing w:after="80"/>
      </w:pPr>
      <w:r>
        <w:t xml:space="preserve">Cumplir obligaciones legales y responder a requerimientos de autoridades competentes.</w:t>
      </w:r>
    </w:p>
    <w:p>
      <w:pPr>
        <w:pStyle w:val="Heading1"/>
        <w:spacing w:after="150" w:before="300"/>
      </w:pPr>
      <w:r>
        <w:t xml:space="preserve">5. Dónde se almacenan los datos</w:t>
      </w:r>
    </w:p>
    <w:p>
      <w:pPr>
        <w:spacing w:after="150"/>
      </w:pPr>
      <w:r>
        <w:t xml:space="preserve">Los datos del Servicio se almacenan mediante Supabase, cuya infraestructura corre sobre servidores de Amazon Web Services (AWS), los cuales pueden estar ubicados fuera de la República Dominicana. La Ley No. 172-13 condiciona la transferencia internacional de datos personales al cumplimiento de ciertos requisitos; [esta sección debe completarse con el análisis específico de un abogado sobre la transferencia internacional aplicable a la región/servidor de Supabase que finalmente se utilice, y sobre si corresponde incluir cláusulas contractuales adicionales con Supabase/AWS].</w:t>
      </w:r>
    </w:p>
    <w:p>
      <w:pPr>
        <w:pStyle w:val="Heading1"/>
        <w:spacing w:after="150" w:before="300"/>
      </w:pPr>
      <w:r>
        <w:t xml:space="preserve">6. Proveedores externos (encargados / sub-encargados del tratamiento)</w:t>
      </w:r>
    </w:p>
    <w:p>
      <w:pPr>
        <w:spacing w:after="150"/>
      </w:pPr>
      <w:r>
        <w:t xml:space="preserve">El Proveedor utiliza los siguientes servicios de terceros para operar el Servicio: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c>
          <w:tcPr>
            <w:tcW w:type="dxa" w:w="2200"/>
            <w:shd w:fill="E9ECEF" w:val="clear"/>
          </w:tcPr>
          <w:p>
            <w:r>
              <w:rPr>
                <w:b/>
                <w:bCs/>
              </w:rPr>
              <w:t xml:space="preserve">Proveedor</w:t>
            </w:r>
          </w:p>
        </w:tc>
        <w:tc>
          <w:tcPr>
            <w:tcW w:type="dxa" w:w="2600"/>
            <w:shd w:fill="E9ECEF" w:val="clear"/>
          </w:tcPr>
          <w:p>
            <w:r>
              <w:rPr>
                <w:b/>
                <w:bCs/>
              </w:rPr>
              <w:t xml:space="preserve">Función</w:t>
            </w:r>
          </w:p>
        </w:tc>
        <w:tc>
          <w:tcPr>
            <w:tcW w:type="dxa" w:w="4700"/>
            <w:shd w:fill="E9ECEF" w:val="clear"/>
          </w:tcPr>
          <w:p>
            <w:r>
              <w:rPr>
                <w:b/>
                <w:bCs/>
              </w:rPr>
              <w:t xml:space="preserve">Datos que procesa</w:t>
            </w:r>
          </w:p>
        </w:tc>
      </w:tr>
      <w:tr>
        <w:tc>
          <w:tcPr>
            <w:tcW w:type="dxa" w:w="2200"/>
          </w:tcPr>
          <w:p>
            <w:r>
              <w:rPr>
                <w:b w:val="false"/>
                <w:bCs w:val="false"/>
              </w:rPr>
              <w:t xml:space="preserve">Supabase (sobre infraestructura de AWS)</w:t>
            </w:r>
          </w:p>
        </w:tc>
        <w:tc>
          <w:tcPr>
            <w:tcW w:type="dxa" w:w="2600"/>
          </w:tcPr>
          <w:p>
            <w:r>
              <w:rPr>
                <w:b w:val="false"/>
                <w:bCs w:val="false"/>
              </w:rPr>
              <w:t xml:space="preserve">Base de datos, autenticación y almacenamiento de archivos</w:t>
            </w:r>
          </w:p>
        </w:tc>
        <w:tc>
          <w:tcPr>
            <w:tcW w:type="dxa" w:w="4700"/>
          </w:tcPr>
          <w:p>
            <w:r>
              <w:rPr>
                <w:b w:val="false"/>
                <w:bCs w:val="false"/>
              </w:rPr>
              <w:t xml:space="preserve">Todos los datos de la cuenta: contactos, propiedades, negociaciones, mensajes, documentos</w:t>
            </w:r>
          </w:p>
        </w:tc>
      </w:tr>
      <w:tr>
        <w:tc>
          <w:tcPr>
            <w:tcW w:type="dxa" w:w="2200"/>
          </w:tcPr>
          <w:p>
            <w:r>
              <w:rPr>
                <w:b w:val="false"/>
                <w:bCs w:val="false"/>
              </w:rPr>
              <w:t xml:space="preserve">Twilio</w:t>
            </w:r>
          </w:p>
        </w:tc>
        <w:tc>
          <w:tcPr>
            <w:tcW w:type="dxa" w:w="2600"/>
          </w:tcPr>
          <w:p>
            <w:r>
              <w:rPr>
                <w:b w:val="false"/>
                <w:bCs w:val="false"/>
              </w:rPr>
              <w:t xml:space="preserve">Envío y recepción de mensajes de WhatsApp</w:t>
            </w:r>
          </w:p>
        </w:tc>
        <w:tc>
          <w:tcPr>
            <w:tcW w:type="dxa" w:w="4700"/>
          </w:tcPr>
          <w:p>
            <w:r>
              <w:rPr>
                <w:b w:val="false"/>
                <w:bCs w:val="false"/>
              </w:rPr>
              <w:t xml:space="preserve">Números de teléfono y contenido de los mensajes de WhatsApp</w:t>
            </w:r>
          </w:p>
        </w:tc>
      </w:tr>
      <w:tr>
        <w:tc>
          <w:tcPr>
            <w:tcW w:type="dxa" w:w="2200"/>
          </w:tcPr>
          <w:p>
            <w:r>
              <w:rPr>
                <w:b w:val="false"/>
                <w:bCs w:val="false"/>
              </w:rPr>
              <w:t xml:space="preserve">[Proveedor de pagos, ej. Stripe]</w:t>
            </w:r>
          </w:p>
        </w:tc>
        <w:tc>
          <w:tcPr>
            <w:tcW w:type="dxa" w:w="2600"/>
          </w:tcPr>
          <w:p>
            <w:r>
              <w:rPr>
                <w:b w:val="false"/>
                <w:bCs w:val="false"/>
              </w:rPr>
              <w:t xml:space="preserve">Procesamiento de pagos de la suscripción</w:t>
            </w:r>
          </w:p>
        </w:tc>
        <w:tc>
          <w:tcPr>
            <w:tcW w:type="dxa" w:w="4700"/>
          </w:tcPr>
          <w:p>
            <w:r>
              <w:rPr>
                <w:b w:val="false"/>
                <w:bCs w:val="false"/>
              </w:rPr>
              <w:t xml:space="preserve">Datos de facturación de la Agencia (no datos de sus leads/clientes)</w:t>
            </w:r>
          </w:p>
        </w:tc>
      </w:tr>
      <w:tr>
        <w:tc>
          <w:tcPr>
            <w:tcW w:type="dxa" w:w="2200"/>
          </w:tcPr>
          <w:p>
            <w:r>
              <w:rPr>
                <w:b w:val="false"/>
                <w:bCs w:val="false"/>
              </w:rPr>
              <w:t xml:space="preserve">Railway / Vercel</w:t>
            </w:r>
          </w:p>
        </w:tc>
        <w:tc>
          <w:tcPr>
            <w:tcW w:type="dxa" w:w="2600"/>
          </w:tcPr>
          <w:p>
            <w:r>
              <w:rPr>
                <w:b w:val="false"/>
                <w:bCs w:val="false"/>
              </w:rPr>
              <w:t xml:space="preserve">Hosting del backend y frontend</w:t>
            </w:r>
          </w:p>
        </w:tc>
        <w:tc>
          <w:tcPr>
            <w:tcW w:type="dxa" w:w="4700"/>
          </w:tcPr>
          <w:p>
            <w:r>
              <w:rPr>
                <w:b w:val="false"/>
                <w:bCs w:val="false"/>
              </w:rPr>
              <w:t xml:space="preserve">Datos en tránsito; no almacenamiento persistente propio</w:t>
            </w:r>
          </w:p>
        </w:tc>
      </w:tr>
    </w:tbl>
    <w:p>
      <w:pPr>
        <w:spacing w:after="150"/>
      </w:pPr>
    </w:p>
    <w:p>
      <w:pPr>
        <w:pStyle w:val="Heading1"/>
        <w:spacing w:after="150" w:before="300"/>
      </w:pPr>
      <w:r>
        <w:t xml:space="preserve">7. Derechos de los titulares de datos (Habeas Data)</w:t>
      </w:r>
    </w:p>
    <w:p>
      <w:pPr>
        <w:spacing w:after="150"/>
      </w:pPr>
      <w:r>
        <w:t xml:space="preserve">Conforme a la Ley No. 172-13, toda persona titular de datos personales tiene derecho a solicitar acceso, rectificación, actualización, cancelación (supresión) y oposición respecto de sus datos personales tratados por el Servicio.</w:t>
      </w:r>
    </w:p>
    <w:p>
      <w:pPr>
        <w:pStyle w:val="ListParagraph"/>
        <w:numPr>
          <w:ilvl w:val="0"/>
          <w:numId w:val="2"/>
        </w:numPr>
        <w:spacing w:after="80"/>
      </w:pPr>
      <w:r>
        <w:t xml:space="preserve">Solicitudes de acceso a los datos: se atenderán dentro de los cinco (5) días hábiles siguientes a la solicitud verificada.</w:t>
      </w:r>
    </w:p>
    <w:p>
      <w:pPr>
        <w:pStyle w:val="ListParagraph"/>
        <w:numPr>
          <w:ilvl w:val="0"/>
          <w:numId w:val="2"/>
        </w:numPr>
        <w:spacing w:after="80"/>
      </w:pPr>
      <w:r>
        <w:t xml:space="preserve">Solicitudes de rectificación, actualización o supresión: se atenderán dentro de los diez (10) días hábiles siguientes a la solicitud verificada.</w:t>
      </w:r>
    </w:p>
    <w:p>
      <w:pPr>
        <w:pStyle w:val="ListParagraph"/>
        <w:numPr>
          <w:ilvl w:val="0"/>
          <w:numId w:val="2"/>
        </w:numPr>
        <w:spacing w:after="80"/>
      </w:pPr>
      <w:r>
        <w:t xml:space="preserve">Si el titular de los datos es un contacto/lead de una Agencia (no un usuario directo del Servicio), la solicitud debe dirigirse primero a la Agencia correspondiente, quien es la responsable del tratamiento frente a esa persona; el Proveedor colaborará con la Agencia para ejecutar la solicitud dentro del Servicio.</w:t>
      </w:r>
    </w:p>
    <w:p>
      <w:pPr>
        <w:spacing w:after="150"/>
      </w:pPr>
      <w:r>
        <w:t xml:space="preserve">Para ejercer estos derechos, puede escribir a [EMAIL DE CONTACTO PARA PRIVACIDAD], acreditando su identidad conforme a lo exigido por la ley.</w:t>
      </w:r>
    </w:p>
    <w:p>
      <w:pPr>
        <w:pStyle w:val="Heading1"/>
        <w:spacing w:after="150" w:before="300"/>
      </w:pPr>
      <w:r>
        <w:t xml:space="preserve">8. Seguridad de los datos</w:t>
      </w:r>
    </w:p>
    <w:p>
      <w:pPr>
        <w:spacing w:after="150"/>
      </w:pPr>
      <w:r>
        <w:t xml:space="preserve">El Servicio implementa aislamiento de datos entre agencias (multi-tenant) mediante controles de acceso a nivel de base de datos (Row-Level Security), de forma que una Agencia nunca pueda acceder a los datos de otra. Las contraseñas y credenciales se almacenan de forma cifrada. Los tokens de acceso a servicios externos (como WhatsApp) se cifran en reposo y nunca se exponen directamente al navegador del usuario.</w:t>
      </w:r>
    </w:p>
    <w:p>
      <w:pPr>
        <w:spacing w:after="150"/>
      </w:pPr>
      <w:r>
        <w:t xml:space="preserve">Ninguna medida de seguridad es infalible; el Proveedor se compromete a notificar a las Agencias afectadas ante cualquier incidente de seguridad que comprometa datos personales, conforme a los plazos que determine la ley aplicable y las buenas prácticas del sector.</w:t>
      </w:r>
    </w:p>
    <w:p>
      <w:pPr>
        <w:pStyle w:val="Heading1"/>
        <w:spacing w:after="150" w:before="300"/>
      </w:pPr>
      <w:r>
        <w:t xml:space="preserve">9. Retención y eliminación de datos</w:t>
      </w:r>
    </w:p>
    <w:p>
      <w:pPr>
        <w:spacing w:after="150"/>
      </w:pPr>
      <w:r>
        <w:t xml:space="preserve">Los datos de una Agencia se conservan mientras su cuenta esté activa. Si la Agencia cancela su suscripción, podrá solicitar la exportación de sus datos dentro de los [30] días siguientes a la cancelación. Transcurrido ese plazo sin solicitud de exportación, el Proveedor podrá eliminar de forma permanente los datos de esa Agencia, salvo que exista una obligación legal de conservarlos por más tiempo.</w:t>
      </w:r>
    </w:p>
    <w:p>
      <w:pPr>
        <w:pStyle w:val="Heading1"/>
        <w:spacing w:after="150" w:before="300"/>
      </w:pPr>
      <w:r>
        <w:t xml:space="preserve">10. Menores de edad</w:t>
      </w:r>
    </w:p>
    <w:p>
      <w:pPr>
        <w:spacing w:after="150"/>
      </w:pPr>
      <w:r>
        <w:t xml:space="preserve">El Servicio no está dirigido a menores de edad. No se recolectan intencionalmente datos de menores como usuarios del Servicio. Si un contacto/lead ingresado por una Agencia resultara ser menor de edad, la Agencia es responsable de contar con la base legal correspondiente conforme a la normativa dominicana de protección de niños, niñas y adolescentes.</w:t>
      </w:r>
    </w:p>
    <w:p>
      <w:pPr>
        <w:pStyle w:val="Heading1"/>
        <w:spacing w:after="150" w:before="300"/>
      </w:pPr>
      <w:r>
        <w:t xml:space="preserve">11. Cambios a esta política</w:t>
      </w:r>
    </w:p>
    <w:p>
      <w:pPr>
        <w:spacing w:after="150"/>
      </w:pPr>
      <w:r>
        <w:t xml:space="preserve">Esta política puede actualizarse periódicamente. Los cambios sustanciales se notificarán a las Agencias con al menos [15] días de anticipación por correo electrónico o dentro de la plataforma.</w:t>
      </w:r>
    </w:p>
    <w:p>
      <w:pPr>
        <w:pStyle w:val="Heading1"/>
        <w:spacing w:after="150" w:before="300"/>
      </w:pPr>
      <w:r>
        <w:t xml:space="preserve">12. Contacto</w:t>
      </w:r>
    </w:p>
    <w:p>
      <w:pPr>
        <w:spacing w:after="150"/>
      </w:pPr>
      <w:r>
        <w:t xml:space="preserve">Para preguntas sobre esta Política de Privacidad o para ejercer sus derechos como titular de datos, escriba a [EMAIL DE CONTACTO] o [DIRECCIÓN FÍSICA].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2026-07-10T09:57:57.473Z</dcterms:created>
  <dcterms:modified xsi:type="dcterms:W3CDTF">2026-07-10T09:57:57.473Z</dcterms:modified>
</cp:coreProperties>
</file>

<file path=docProps/custom.xml><?xml version="1.0" encoding="utf-8"?>
<Properties xmlns="http://schemas.openxmlformats.org/officeDocument/2006/custom-properties" xmlns:vt="http://schemas.openxmlformats.org/officeDocument/2006/docPropsVTypes"/>
</file>